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40" w:type="dxa"/>
        <w:tblLook w:val="01E0" w:firstRow="1" w:lastRow="1" w:firstColumn="1" w:lastColumn="1" w:noHBand="0" w:noVBand="0"/>
      </w:tblPr>
      <w:tblGrid>
        <w:gridCol w:w="5229"/>
        <w:gridCol w:w="6211"/>
      </w:tblGrid>
      <w:tr w:rsidR="005C3621" w:rsidTr="008E792B">
        <w:trPr>
          <w:trHeight w:val="2153"/>
        </w:trPr>
        <w:tc>
          <w:tcPr>
            <w:tcW w:w="5229" w:type="dxa"/>
          </w:tcPr>
          <w:p w:rsidR="005C3621" w:rsidRDefault="005C3621" w:rsidP="0034437B">
            <w:pPr>
              <w:jc w:val="both"/>
              <w:rPr>
                <w:rFonts w:ascii="Trebuchet MS" w:hAnsi="Trebuchet MS"/>
              </w:rPr>
            </w:pPr>
            <w:r>
              <w:rPr>
                <w:rFonts w:ascii="Trebuchet MS" w:hAnsi="Trebuchet MS"/>
                <w:noProof/>
              </w:rPr>
              <w:drawing>
                <wp:inline distT="0" distB="0" distL="0" distR="0" wp14:anchorId="3DAD435B" wp14:editId="3AFDDEC3">
                  <wp:extent cx="1545772" cy="1141969"/>
                  <wp:effectExtent l="0" t="0" r="0" b="127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918" cy="1143555"/>
                          </a:xfrm>
                          <a:prstGeom prst="rect">
                            <a:avLst/>
                          </a:prstGeom>
                          <a:noFill/>
                          <a:ln>
                            <a:noFill/>
                          </a:ln>
                        </pic:spPr>
                      </pic:pic>
                    </a:graphicData>
                  </a:graphic>
                </wp:inline>
              </w:drawing>
            </w:r>
          </w:p>
          <w:p w:rsidR="005C3621" w:rsidRDefault="005C3621" w:rsidP="0034437B">
            <w:pPr>
              <w:jc w:val="both"/>
              <w:rPr>
                <w:rFonts w:ascii="Trebuchet MS" w:hAnsi="Trebuchet MS"/>
              </w:rPr>
            </w:pPr>
          </w:p>
        </w:tc>
        <w:tc>
          <w:tcPr>
            <w:tcW w:w="6211" w:type="dxa"/>
          </w:tcPr>
          <w:p w:rsidR="005C3621" w:rsidRDefault="005C3621" w:rsidP="0034437B">
            <w:pPr>
              <w:jc w:val="both"/>
              <w:rPr>
                <w:rFonts w:ascii="Trebuchet MS" w:hAnsi="Trebuchet MS"/>
              </w:rPr>
            </w:pPr>
            <w:r>
              <w:rPr>
                <w:rFonts w:ascii="Trebuchet MS" w:hAnsi="Trebuchet MS"/>
              </w:rPr>
              <w:t>Bundesarbeitsgemeinschaft Selbsthilfe von</w:t>
            </w:r>
          </w:p>
          <w:p w:rsidR="005C3621" w:rsidRDefault="005C3621" w:rsidP="0034437B">
            <w:pPr>
              <w:jc w:val="both"/>
              <w:rPr>
                <w:rFonts w:ascii="Trebuchet MS" w:hAnsi="Trebuchet MS"/>
              </w:rPr>
            </w:pPr>
            <w:r>
              <w:rPr>
                <w:rFonts w:ascii="Trebuchet MS" w:hAnsi="Trebuchet MS"/>
              </w:rPr>
              <w:t xml:space="preserve">Menschen mit Behinderung und chronischer </w:t>
            </w:r>
          </w:p>
          <w:p w:rsidR="005C3621" w:rsidRDefault="005C3621" w:rsidP="0034437B">
            <w:pPr>
              <w:jc w:val="both"/>
              <w:rPr>
                <w:rFonts w:ascii="Trebuchet MS" w:hAnsi="Trebuchet MS"/>
              </w:rPr>
            </w:pPr>
            <w:r>
              <w:rPr>
                <w:rFonts w:ascii="Trebuchet MS" w:hAnsi="Trebuchet MS"/>
              </w:rPr>
              <w:t xml:space="preserve">Erkrankung und ihren Angehörigen e.V. </w:t>
            </w:r>
          </w:p>
          <w:p w:rsidR="005C3621" w:rsidRDefault="005C3621" w:rsidP="0034437B">
            <w:pPr>
              <w:jc w:val="both"/>
              <w:rPr>
                <w:rFonts w:ascii="Trebuchet MS" w:hAnsi="Trebuchet MS"/>
              </w:rPr>
            </w:pPr>
            <w:r>
              <w:rPr>
                <w:rFonts w:ascii="Trebuchet MS" w:hAnsi="Trebuchet MS"/>
              </w:rPr>
              <w:t xml:space="preserve">BAG SELBSTHILFE </w:t>
            </w:r>
          </w:p>
          <w:p w:rsidR="005C3621" w:rsidRDefault="005C3621" w:rsidP="0034437B">
            <w:pPr>
              <w:jc w:val="both"/>
              <w:rPr>
                <w:rFonts w:ascii="Trebuchet MS" w:hAnsi="Trebuchet MS"/>
              </w:rPr>
            </w:pPr>
            <w:r>
              <w:rPr>
                <w:rFonts w:ascii="Trebuchet MS" w:hAnsi="Trebuchet MS"/>
              </w:rPr>
              <w:t>Kirchfeldstr. 149</w:t>
            </w:r>
          </w:p>
          <w:p w:rsidR="005C3621" w:rsidRDefault="005C3621" w:rsidP="0034437B">
            <w:pPr>
              <w:jc w:val="both"/>
              <w:rPr>
                <w:rFonts w:ascii="Trebuchet MS" w:hAnsi="Trebuchet MS"/>
              </w:rPr>
            </w:pPr>
            <w:r>
              <w:rPr>
                <w:rFonts w:ascii="Trebuchet MS" w:hAnsi="Trebuchet MS"/>
              </w:rPr>
              <w:t>40215 Düsseldorf</w:t>
            </w:r>
          </w:p>
          <w:p w:rsidR="005C3621" w:rsidRDefault="005C3621" w:rsidP="0034437B">
            <w:pPr>
              <w:jc w:val="both"/>
              <w:rPr>
                <w:rFonts w:ascii="Trebuchet MS" w:hAnsi="Trebuchet MS"/>
              </w:rPr>
            </w:pPr>
            <w:r>
              <w:rPr>
                <w:rFonts w:ascii="Trebuchet MS" w:hAnsi="Trebuchet MS"/>
              </w:rPr>
              <w:t>Tel. 0211/31006-0</w:t>
            </w:r>
          </w:p>
          <w:p w:rsidR="005C3621" w:rsidRDefault="005C3621" w:rsidP="0034437B">
            <w:pPr>
              <w:jc w:val="both"/>
              <w:rPr>
                <w:rFonts w:ascii="Trebuchet MS" w:hAnsi="Trebuchet MS"/>
              </w:rPr>
            </w:pPr>
            <w:r>
              <w:rPr>
                <w:rFonts w:ascii="Trebuchet MS" w:hAnsi="Trebuchet MS"/>
              </w:rPr>
              <w:t>Fax. 0211/31006-48</w:t>
            </w:r>
          </w:p>
        </w:tc>
      </w:tr>
    </w:tbl>
    <w:p w:rsidR="005C3621" w:rsidRPr="00E214D3" w:rsidRDefault="005C3621" w:rsidP="005C3621">
      <w:pPr>
        <w:jc w:val="both"/>
        <w:rPr>
          <w:rFonts w:ascii="Trebuchet MS" w:hAnsi="Trebuchet MS"/>
        </w:rPr>
      </w:pPr>
      <w:r>
        <w:rPr>
          <w:rFonts w:ascii="Trebuchet MS" w:hAnsi="Trebuchet MS"/>
          <w:noProof/>
        </w:rPr>
        <mc:AlternateContent>
          <mc:Choice Requires="wps">
            <w:drawing>
              <wp:anchor distT="0" distB="0" distL="114300" distR="114300" simplePos="0" relativeHeight="251659264" behindDoc="0" locked="0" layoutInCell="1" allowOverlap="1" wp14:anchorId="36334968" wp14:editId="6893F4B1">
                <wp:simplePos x="0" y="0"/>
                <wp:positionH relativeFrom="column">
                  <wp:posOffset>-118745</wp:posOffset>
                </wp:positionH>
                <wp:positionV relativeFrom="paragraph">
                  <wp:posOffset>58420</wp:posOffset>
                </wp:positionV>
                <wp:extent cx="6768465" cy="0"/>
                <wp:effectExtent l="14605" t="20320" r="17780" b="177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rsidR="005C3621" w:rsidRDefault="005C3621" w:rsidP="005C3621"/>
    <w:p w:rsidR="005C3621" w:rsidRDefault="005C3621" w:rsidP="005C3621"/>
    <w:p w:rsidR="008E792B" w:rsidRDefault="008E792B" w:rsidP="005C3621"/>
    <w:p w:rsidR="008E792B" w:rsidRDefault="008E792B" w:rsidP="005C3621"/>
    <w:p w:rsidR="008E792B" w:rsidRDefault="008E792B" w:rsidP="005C3621"/>
    <w:p w:rsidR="008E792B" w:rsidRDefault="008E792B" w:rsidP="005C3621"/>
    <w:p w:rsidR="008E792B" w:rsidRDefault="008E792B" w:rsidP="005C3621"/>
    <w:p w:rsidR="005C3621" w:rsidRPr="00E333BE" w:rsidRDefault="005C3621" w:rsidP="005C3621">
      <w:pPr>
        <w:jc w:val="center"/>
        <w:rPr>
          <w:rFonts w:ascii="Trebuchet MS" w:hAnsi="Trebuchet MS"/>
          <w:b/>
          <w:sz w:val="36"/>
          <w:szCs w:val="36"/>
        </w:rPr>
      </w:pPr>
      <w:r w:rsidRPr="00E333BE">
        <w:rPr>
          <w:rFonts w:ascii="Trebuchet MS" w:hAnsi="Trebuchet MS"/>
          <w:b/>
          <w:sz w:val="36"/>
          <w:szCs w:val="36"/>
        </w:rPr>
        <w:t>Stellungnahme der</w:t>
      </w:r>
    </w:p>
    <w:p w:rsidR="005C3621" w:rsidRPr="00E333BE" w:rsidRDefault="005C3621" w:rsidP="005C3621">
      <w:pPr>
        <w:jc w:val="center"/>
        <w:rPr>
          <w:rFonts w:ascii="Trebuchet MS" w:hAnsi="Trebuchet MS"/>
          <w:b/>
          <w:sz w:val="36"/>
          <w:szCs w:val="36"/>
        </w:rPr>
      </w:pPr>
    </w:p>
    <w:p w:rsidR="005C3621" w:rsidRPr="00E333BE" w:rsidRDefault="005C3621" w:rsidP="005C3621">
      <w:pPr>
        <w:jc w:val="center"/>
        <w:rPr>
          <w:rFonts w:ascii="Trebuchet MS" w:hAnsi="Trebuchet MS"/>
          <w:b/>
          <w:sz w:val="36"/>
          <w:szCs w:val="36"/>
        </w:rPr>
      </w:pPr>
    </w:p>
    <w:p w:rsidR="005C3621" w:rsidRDefault="005C3621" w:rsidP="005C3621">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rsidR="005C3621" w:rsidRDefault="005C3621" w:rsidP="005C3621">
      <w:pPr>
        <w:jc w:val="center"/>
        <w:rPr>
          <w:rFonts w:ascii="Trebuchet MS" w:hAnsi="Trebuchet MS"/>
          <w:b/>
          <w:sz w:val="36"/>
          <w:szCs w:val="36"/>
        </w:rPr>
      </w:pPr>
      <w:r w:rsidRPr="00E333BE">
        <w:rPr>
          <w:rFonts w:ascii="Trebuchet MS" w:hAnsi="Trebuchet MS"/>
          <w:b/>
          <w:sz w:val="36"/>
          <w:szCs w:val="36"/>
        </w:rPr>
        <w:t>von Men</w:t>
      </w:r>
      <w:r>
        <w:rPr>
          <w:rFonts w:ascii="Trebuchet MS" w:hAnsi="Trebuchet MS"/>
          <w:b/>
          <w:sz w:val="36"/>
          <w:szCs w:val="36"/>
        </w:rPr>
        <w:t xml:space="preserve">schen mit Behinderung, </w:t>
      </w:r>
    </w:p>
    <w:p w:rsidR="005C3621" w:rsidRDefault="005C3621" w:rsidP="005C3621">
      <w:pPr>
        <w:jc w:val="center"/>
        <w:rPr>
          <w:rFonts w:ascii="Trebuchet MS" w:hAnsi="Trebuchet MS"/>
          <w:b/>
          <w:sz w:val="36"/>
          <w:szCs w:val="36"/>
        </w:rPr>
      </w:pPr>
      <w:r w:rsidRPr="00E333BE">
        <w:rPr>
          <w:rFonts w:ascii="Trebuchet MS" w:hAnsi="Trebuchet MS"/>
          <w:b/>
          <w:sz w:val="36"/>
          <w:szCs w:val="36"/>
        </w:rPr>
        <w:t>ch</w:t>
      </w:r>
      <w:r>
        <w:rPr>
          <w:rFonts w:ascii="Trebuchet MS" w:hAnsi="Trebuchet MS"/>
          <w:b/>
          <w:sz w:val="36"/>
          <w:szCs w:val="36"/>
        </w:rPr>
        <w:t xml:space="preserve">ronischer Erkrankung und ihren </w:t>
      </w:r>
      <w:r w:rsidRPr="00E333BE">
        <w:rPr>
          <w:rFonts w:ascii="Trebuchet MS" w:hAnsi="Trebuchet MS"/>
          <w:b/>
          <w:sz w:val="36"/>
          <w:szCs w:val="36"/>
        </w:rPr>
        <w:t>Angehöri</w:t>
      </w:r>
      <w:r>
        <w:rPr>
          <w:rFonts w:ascii="Trebuchet MS" w:hAnsi="Trebuchet MS"/>
          <w:b/>
          <w:sz w:val="36"/>
          <w:szCs w:val="36"/>
        </w:rPr>
        <w:t xml:space="preserve">gen e.V. </w:t>
      </w:r>
    </w:p>
    <w:p w:rsidR="005C3621" w:rsidRDefault="005C3621" w:rsidP="005C3621">
      <w:pPr>
        <w:jc w:val="center"/>
        <w:rPr>
          <w:rFonts w:ascii="Trebuchet MS" w:hAnsi="Trebuchet MS"/>
          <w:b/>
          <w:sz w:val="36"/>
          <w:szCs w:val="36"/>
        </w:rPr>
      </w:pPr>
      <w:r>
        <w:rPr>
          <w:rFonts w:ascii="Trebuchet MS" w:hAnsi="Trebuchet MS"/>
          <w:b/>
          <w:sz w:val="36"/>
          <w:szCs w:val="36"/>
        </w:rPr>
        <w:t xml:space="preserve">(BAG SELBSTHILFE) </w:t>
      </w:r>
    </w:p>
    <w:p w:rsidR="00BD45B5" w:rsidRPr="00E333BE" w:rsidRDefault="00BD45B5" w:rsidP="005C3621">
      <w:pPr>
        <w:jc w:val="center"/>
        <w:rPr>
          <w:rFonts w:ascii="Trebuchet MS" w:hAnsi="Trebuchet MS"/>
          <w:b/>
          <w:sz w:val="36"/>
          <w:szCs w:val="36"/>
        </w:rPr>
      </w:pPr>
    </w:p>
    <w:p w:rsidR="005C3621" w:rsidRDefault="005C3621" w:rsidP="005C3621">
      <w:pPr>
        <w:jc w:val="center"/>
        <w:rPr>
          <w:rFonts w:ascii="Trebuchet MS" w:hAnsi="Trebuchet MS"/>
          <w:b/>
          <w:sz w:val="36"/>
          <w:szCs w:val="36"/>
        </w:rPr>
      </w:pPr>
      <w:r>
        <w:rPr>
          <w:rFonts w:ascii="Trebuchet MS" w:hAnsi="Trebuchet MS"/>
          <w:b/>
          <w:sz w:val="36"/>
          <w:szCs w:val="36"/>
        </w:rPr>
        <w:t>z</w:t>
      </w:r>
      <w:r w:rsidRPr="00E333BE">
        <w:rPr>
          <w:rFonts w:ascii="Trebuchet MS" w:hAnsi="Trebuchet MS"/>
          <w:b/>
          <w:sz w:val="36"/>
          <w:szCs w:val="36"/>
        </w:rPr>
        <w:t xml:space="preserve">um </w:t>
      </w:r>
    </w:p>
    <w:p w:rsidR="005C3621" w:rsidRDefault="005C3621" w:rsidP="005C3621">
      <w:pPr>
        <w:jc w:val="center"/>
        <w:rPr>
          <w:rFonts w:ascii="Trebuchet MS" w:hAnsi="Trebuchet MS"/>
          <w:b/>
          <w:sz w:val="36"/>
          <w:szCs w:val="36"/>
        </w:rPr>
      </w:pPr>
    </w:p>
    <w:p w:rsidR="00720082" w:rsidRDefault="00A2077F" w:rsidP="00A2077F">
      <w:pPr>
        <w:spacing w:line="360" w:lineRule="auto"/>
        <w:jc w:val="center"/>
        <w:rPr>
          <w:rFonts w:ascii="Trebuchet MS" w:hAnsi="Trebuchet MS"/>
          <w:b/>
          <w:sz w:val="36"/>
          <w:szCs w:val="36"/>
        </w:rPr>
      </w:pPr>
      <w:r>
        <w:rPr>
          <w:rFonts w:ascii="Trebuchet MS" w:hAnsi="Trebuchet MS"/>
          <w:b/>
          <w:sz w:val="36"/>
          <w:szCs w:val="36"/>
        </w:rPr>
        <w:t>Entwurf eines Ges</w:t>
      </w:r>
      <w:r w:rsidR="000B79C6">
        <w:rPr>
          <w:rFonts w:ascii="Trebuchet MS" w:hAnsi="Trebuchet MS"/>
          <w:b/>
          <w:sz w:val="36"/>
          <w:szCs w:val="36"/>
        </w:rPr>
        <w:t xml:space="preserve">etzes </w:t>
      </w:r>
      <w:r w:rsidR="00720082">
        <w:rPr>
          <w:rFonts w:ascii="Trebuchet MS" w:hAnsi="Trebuchet MS"/>
          <w:b/>
          <w:sz w:val="36"/>
          <w:szCs w:val="36"/>
        </w:rPr>
        <w:t xml:space="preserve">für bessere Versorgung durch Digitalisierung und Innovation </w:t>
      </w:r>
    </w:p>
    <w:p w:rsidR="005C3621" w:rsidRPr="00D44FFE" w:rsidRDefault="00720082" w:rsidP="00A2077F">
      <w:pPr>
        <w:spacing w:line="360" w:lineRule="auto"/>
        <w:jc w:val="center"/>
        <w:rPr>
          <w:rFonts w:ascii="Trebuchet MS" w:hAnsi="Trebuchet MS"/>
          <w:b/>
          <w:sz w:val="36"/>
          <w:szCs w:val="36"/>
        </w:rPr>
      </w:pPr>
      <w:r>
        <w:rPr>
          <w:rFonts w:ascii="Trebuchet MS" w:hAnsi="Trebuchet MS"/>
          <w:b/>
          <w:sz w:val="36"/>
          <w:szCs w:val="36"/>
        </w:rPr>
        <w:t>(Digitale-Versorgungs-Gesetz- DVG)</w:t>
      </w:r>
    </w:p>
    <w:p w:rsidR="00100F02" w:rsidRPr="00D44FFE" w:rsidRDefault="00100F02" w:rsidP="00100F02">
      <w:pPr>
        <w:spacing w:line="360" w:lineRule="auto"/>
        <w:jc w:val="center"/>
        <w:rPr>
          <w:rFonts w:ascii="Trebuchet MS" w:eastAsiaTheme="minorHAnsi" w:hAnsi="Trebuchet MS" w:cs="Arial"/>
          <w:sz w:val="36"/>
          <w:szCs w:val="36"/>
          <w:lang w:eastAsia="en-US"/>
        </w:rPr>
      </w:pPr>
    </w:p>
    <w:p w:rsidR="0041315F" w:rsidRPr="00D44FFE" w:rsidRDefault="0041315F" w:rsidP="00F6157B">
      <w:pPr>
        <w:spacing w:line="360" w:lineRule="auto"/>
        <w:rPr>
          <w:rFonts w:ascii="Trebuchet MS" w:eastAsiaTheme="minorHAnsi" w:hAnsi="Trebuchet MS" w:cs="Arial"/>
          <w:sz w:val="36"/>
          <w:szCs w:val="36"/>
          <w:lang w:eastAsia="en-US"/>
        </w:rPr>
      </w:pPr>
    </w:p>
    <w:p w:rsidR="00F21978" w:rsidRDefault="00100F02" w:rsidP="00100F02">
      <w:pPr>
        <w:spacing w:line="360" w:lineRule="auto"/>
        <w:jc w:val="center"/>
        <w:rPr>
          <w:rFonts w:ascii="Trebuchet MS" w:eastAsiaTheme="minorHAnsi" w:hAnsi="Trebuchet MS" w:cs="Arial"/>
          <w:b/>
          <w:sz w:val="36"/>
          <w:szCs w:val="36"/>
          <w:lang w:eastAsia="en-US"/>
        </w:rPr>
      </w:pPr>
      <w:r w:rsidRPr="00D44FFE">
        <w:rPr>
          <w:rFonts w:ascii="Trebuchet MS" w:eastAsiaTheme="minorHAnsi" w:hAnsi="Trebuchet MS" w:cs="Arial"/>
          <w:b/>
          <w:sz w:val="36"/>
          <w:szCs w:val="36"/>
          <w:lang w:eastAsia="en-US"/>
        </w:rPr>
        <w:t>- Anhörung</w:t>
      </w:r>
      <w:r w:rsidR="00F21978">
        <w:rPr>
          <w:rFonts w:ascii="Trebuchet MS" w:eastAsiaTheme="minorHAnsi" w:hAnsi="Trebuchet MS" w:cs="Arial"/>
          <w:b/>
          <w:sz w:val="36"/>
          <w:szCs w:val="36"/>
          <w:lang w:eastAsia="en-US"/>
        </w:rPr>
        <w:t xml:space="preserve"> im Bundesministerium für Gesundheit </w:t>
      </w:r>
    </w:p>
    <w:p w:rsidR="00100F02" w:rsidRPr="0041315F" w:rsidRDefault="000B79C6" w:rsidP="00100F02">
      <w:pPr>
        <w:spacing w:line="360" w:lineRule="auto"/>
        <w:jc w:val="center"/>
        <w:rPr>
          <w:rFonts w:ascii="Trebuchet MS" w:hAnsi="Trebuchet MS"/>
          <w:b/>
          <w:sz w:val="36"/>
          <w:szCs w:val="36"/>
        </w:rPr>
      </w:pPr>
      <w:r>
        <w:rPr>
          <w:rFonts w:ascii="Trebuchet MS" w:eastAsiaTheme="minorHAnsi" w:hAnsi="Trebuchet MS" w:cs="Arial"/>
          <w:b/>
          <w:sz w:val="36"/>
          <w:szCs w:val="36"/>
          <w:lang w:eastAsia="en-US"/>
        </w:rPr>
        <w:t>am 17</w:t>
      </w:r>
      <w:r w:rsidR="00F21978">
        <w:rPr>
          <w:rFonts w:ascii="Trebuchet MS" w:eastAsiaTheme="minorHAnsi" w:hAnsi="Trebuchet MS" w:cs="Arial"/>
          <w:b/>
          <w:sz w:val="36"/>
          <w:szCs w:val="36"/>
          <w:lang w:eastAsia="en-US"/>
        </w:rPr>
        <w:t>. Juni</w:t>
      </w:r>
      <w:r w:rsidR="00D44FFE">
        <w:rPr>
          <w:rFonts w:ascii="Trebuchet MS" w:eastAsiaTheme="minorHAnsi" w:hAnsi="Trebuchet MS" w:cs="Arial"/>
          <w:b/>
          <w:sz w:val="36"/>
          <w:szCs w:val="36"/>
          <w:lang w:eastAsia="en-US"/>
        </w:rPr>
        <w:t xml:space="preserve"> </w:t>
      </w:r>
      <w:r w:rsidR="00100F02" w:rsidRPr="00D44FFE">
        <w:rPr>
          <w:rFonts w:ascii="Trebuchet MS" w:eastAsiaTheme="minorHAnsi" w:hAnsi="Trebuchet MS" w:cs="Arial"/>
          <w:b/>
          <w:sz w:val="36"/>
          <w:szCs w:val="36"/>
          <w:lang w:eastAsia="en-US"/>
        </w:rPr>
        <w:t>2019 -</w:t>
      </w:r>
    </w:p>
    <w:p w:rsidR="005C3621" w:rsidRDefault="005C3621">
      <w:pPr>
        <w:rPr>
          <w:rFonts w:ascii="Melior Com" w:hAnsi="Melior Com" w:cs="Melior Com"/>
          <w:color w:val="000000"/>
        </w:rPr>
      </w:pPr>
      <w:r>
        <w:rPr>
          <w:rFonts w:ascii="Melior Com" w:hAnsi="Melior Com" w:cs="Melior Com"/>
          <w:color w:val="000000"/>
        </w:rPr>
        <w:br w:type="page"/>
      </w:r>
    </w:p>
    <w:p w:rsidR="008E792B" w:rsidRDefault="008E792B" w:rsidP="00BB0605">
      <w:pPr>
        <w:rPr>
          <w:rFonts w:ascii="Trebuchet MS" w:hAnsi="Trebuchet MS"/>
        </w:rPr>
      </w:pPr>
    </w:p>
    <w:p w:rsidR="002D17EF" w:rsidRDefault="00476E5A" w:rsidP="000B79C6">
      <w:pPr>
        <w:spacing w:line="360" w:lineRule="auto"/>
        <w:rPr>
          <w:rFonts w:ascii="Trebuchet MS" w:hAnsi="Trebuchet MS"/>
        </w:rPr>
      </w:pPr>
      <w:r w:rsidRPr="00F869B2">
        <w:rPr>
          <w:rFonts w:ascii="Trebuchet MS" w:hAnsi="Trebuchet MS"/>
        </w:rPr>
        <w:t>Als Dachverband von 117 B</w:t>
      </w:r>
      <w:r w:rsidR="00100F02" w:rsidRPr="00F869B2">
        <w:rPr>
          <w:rFonts w:ascii="Trebuchet MS" w:hAnsi="Trebuchet MS"/>
        </w:rPr>
        <w:t xml:space="preserve">undesorganisationen der Selbsthilfe chronisch kranker und behinderter </w:t>
      </w:r>
      <w:r w:rsidR="00F21978" w:rsidRPr="00F869B2">
        <w:rPr>
          <w:rFonts w:ascii="Trebuchet MS" w:hAnsi="Trebuchet MS"/>
        </w:rPr>
        <w:t>Menschen</w:t>
      </w:r>
      <w:r w:rsidR="00100F02" w:rsidRPr="00F869B2">
        <w:rPr>
          <w:rFonts w:ascii="Trebuchet MS" w:hAnsi="Trebuchet MS"/>
        </w:rPr>
        <w:t xml:space="preserve"> begrüßt die BAG SELBSTHILFE</w:t>
      </w:r>
      <w:r w:rsidR="00003900">
        <w:rPr>
          <w:rFonts w:ascii="Trebuchet MS" w:hAnsi="Trebuchet MS"/>
        </w:rPr>
        <w:t xml:space="preserve"> das Ziel des Entwurfs, die Verso</w:t>
      </w:r>
      <w:r w:rsidR="00003900">
        <w:rPr>
          <w:rFonts w:ascii="Trebuchet MS" w:hAnsi="Trebuchet MS"/>
        </w:rPr>
        <w:t>r</w:t>
      </w:r>
      <w:r w:rsidR="00003900">
        <w:rPr>
          <w:rFonts w:ascii="Trebuchet MS" w:hAnsi="Trebuchet MS"/>
        </w:rPr>
        <w:t>gung von Patientinnen und Patienten durch Digitalisierun</w:t>
      </w:r>
      <w:r w:rsidR="00720082">
        <w:rPr>
          <w:rFonts w:ascii="Trebuchet MS" w:hAnsi="Trebuchet MS"/>
        </w:rPr>
        <w:t xml:space="preserve">g zu verbessern. </w:t>
      </w:r>
      <w:r w:rsidR="001B0988">
        <w:rPr>
          <w:rFonts w:ascii="Trebuchet MS" w:hAnsi="Trebuchet MS"/>
        </w:rPr>
        <w:t>Die Digitalisi</w:t>
      </w:r>
      <w:r w:rsidR="001B0988">
        <w:rPr>
          <w:rFonts w:ascii="Trebuchet MS" w:hAnsi="Trebuchet MS"/>
        </w:rPr>
        <w:t>e</w:t>
      </w:r>
      <w:r w:rsidR="003C37F3">
        <w:rPr>
          <w:rFonts w:ascii="Trebuchet MS" w:hAnsi="Trebuchet MS"/>
        </w:rPr>
        <w:t>rung eröffnet</w:t>
      </w:r>
      <w:r w:rsidR="001B0988">
        <w:rPr>
          <w:rFonts w:ascii="Trebuchet MS" w:hAnsi="Trebuchet MS"/>
        </w:rPr>
        <w:t xml:space="preserve"> Möglichkeiten, Zugangswege für Patientinnen und Patienten zur gesun</w:t>
      </w:r>
      <w:r w:rsidR="001B0988">
        <w:rPr>
          <w:rFonts w:ascii="Trebuchet MS" w:hAnsi="Trebuchet MS"/>
        </w:rPr>
        <w:t>d</w:t>
      </w:r>
      <w:r w:rsidR="001B0988">
        <w:rPr>
          <w:rFonts w:ascii="Trebuchet MS" w:hAnsi="Trebuchet MS"/>
        </w:rPr>
        <w:t>heitlichen Versorgung zu vereinfachen und gleichzeitig die Patientensouveränität zu ve</w:t>
      </w:r>
      <w:r w:rsidR="001B0988">
        <w:rPr>
          <w:rFonts w:ascii="Trebuchet MS" w:hAnsi="Trebuchet MS"/>
        </w:rPr>
        <w:t>r</w:t>
      </w:r>
      <w:r w:rsidR="001B0988">
        <w:rPr>
          <w:rFonts w:ascii="Trebuchet MS" w:hAnsi="Trebuchet MS"/>
        </w:rPr>
        <w:t xml:space="preserve">bessern. </w:t>
      </w:r>
      <w:r w:rsidR="00720082">
        <w:rPr>
          <w:rFonts w:ascii="Trebuchet MS" w:hAnsi="Trebuchet MS"/>
        </w:rPr>
        <w:t xml:space="preserve">So bieten </w:t>
      </w:r>
      <w:r w:rsidR="00003900">
        <w:rPr>
          <w:rFonts w:ascii="Trebuchet MS" w:hAnsi="Trebuchet MS"/>
        </w:rPr>
        <w:t xml:space="preserve">digitale Angebote </w:t>
      </w:r>
      <w:r w:rsidR="00720082">
        <w:rPr>
          <w:rFonts w:ascii="Trebuchet MS" w:hAnsi="Trebuchet MS"/>
        </w:rPr>
        <w:t xml:space="preserve">etwa </w:t>
      </w:r>
      <w:r w:rsidR="00003900">
        <w:rPr>
          <w:rFonts w:ascii="Trebuchet MS" w:hAnsi="Trebuchet MS"/>
        </w:rPr>
        <w:t>enorme Chancen für Menschen mit Sehbehi</w:t>
      </w:r>
      <w:r w:rsidR="00003900">
        <w:rPr>
          <w:rFonts w:ascii="Trebuchet MS" w:hAnsi="Trebuchet MS"/>
        </w:rPr>
        <w:t>n</w:t>
      </w:r>
      <w:r w:rsidR="00003900">
        <w:rPr>
          <w:rFonts w:ascii="Trebuchet MS" w:hAnsi="Trebuchet MS"/>
        </w:rPr>
        <w:t>derungen, selbstbestimmt an der Gesellschaft teilzuhaben und ihre Gesundheitsverso</w:t>
      </w:r>
      <w:r w:rsidR="00003900">
        <w:rPr>
          <w:rFonts w:ascii="Trebuchet MS" w:hAnsi="Trebuchet MS"/>
        </w:rPr>
        <w:t>r</w:t>
      </w:r>
      <w:r w:rsidR="00003900">
        <w:rPr>
          <w:rFonts w:ascii="Trebuchet MS" w:hAnsi="Trebuchet MS"/>
        </w:rPr>
        <w:t xml:space="preserve">gung selbst zu gestalten. Hierfür müssen die Angebote aber dann auch von Anfang an barrierefrei ausgestaltet sein. </w:t>
      </w:r>
    </w:p>
    <w:p w:rsidR="001B0988" w:rsidRPr="001B0988" w:rsidRDefault="001B0988" w:rsidP="000B79C6">
      <w:pPr>
        <w:spacing w:line="360" w:lineRule="auto"/>
        <w:rPr>
          <w:rFonts w:ascii="Trebuchet MS" w:hAnsi="Trebuchet MS"/>
        </w:rPr>
      </w:pPr>
    </w:p>
    <w:p w:rsidR="001B0988" w:rsidRPr="001B0988" w:rsidRDefault="001B0988" w:rsidP="000B79C6">
      <w:pPr>
        <w:spacing w:line="360" w:lineRule="auto"/>
        <w:rPr>
          <w:rFonts w:ascii="Trebuchet MS" w:hAnsi="Trebuchet MS"/>
        </w:rPr>
      </w:pPr>
      <w:r w:rsidRPr="001B0988">
        <w:rPr>
          <w:rFonts w:ascii="Trebuchet MS" w:hAnsi="Trebuchet MS"/>
        </w:rPr>
        <w:t>Die BAG SELBSTHILFE fordert insoweit nachdrücklich, dass die neu entstehenden digit</w:t>
      </w:r>
      <w:r w:rsidRPr="001B0988">
        <w:rPr>
          <w:rFonts w:ascii="Trebuchet MS" w:hAnsi="Trebuchet MS"/>
        </w:rPr>
        <w:t>a</w:t>
      </w:r>
      <w:r w:rsidRPr="001B0988">
        <w:rPr>
          <w:rFonts w:ascii="Trebuchet MS" w:hAnsi="Trebuchet MS"/>
        </w:rPr>
        <w:t>len Angebote im Gesundheitsbereich für Menschen mit Behinderungen barrierefrei z</w:t>
      </w:r>
      <w:r w:rsidRPr="001B0988">
        <w:rPr>
          <w:rFonts w:ascii="Trebuchet MS" w:hAnsi="Trebuchet MS"/>
        </w:rPr>
        <w:t>u</w:t>
      </w:r>
      <w:r w:rsidRPr="001B0988">
        <w:rPr>
          <w:rFonts w:ascii="Trebuchet MS" w:hAnsi="Trebuchet MS"/>
        </w:rPr>
        <w:t>gänglich und nutzbar sind. Die Barrierefreiheit in diesem Bereich muss gesetzlich abges</w:t>
      </w:r>
      <w:r w:rsidRPr="001B0988">
        <w:rPr>
          <w:rFonts w:ascii="Trebuchet MS" w:hAnsi="Trebuchet MS"/>
        </w:rPr>
        <w:t>i</w:t>
      </w:r>
      <w:r w:rsidRPr="001B0988">
        <w:rPr>
          <w:rFonts w:ascii="Trebuchet MS" w:hAnsi="Trebuchet MS"/>
        </w:rPr>
        <w:t>chert werden, um jetzt und in der Zukunft niemanden von Gesundheitsleistungen, Pat</w:t>
      </w:r>
      <w:r w:rsidRPr="001B0988">
        <w:rPr>
          <w:rFonts w:ascii="Trebuchet MS" w:hAnsi="Trebuchet MS"/>
        </w:rPr>
        <w:t>i</w:t>
      </w:r>
      <w:r w:rsidRPr="001B0988">
        <w:rPr>
          <w:rFonts w:ascii="Trebuchet MS" w:hAnsi="Trebuchet MS"/>
        </w:rPr>
        <w:t>entenrechten und beruflichen Entfaltungsmöglichkeiten im Gesundheitssektor ausz</w:t>
      </w:r>
      <w:r w:rsidRPr="001B0988">
        <w:rPr>
          <w:rFonts w:ascii="Trebuchet MS" w:hAnsi="Trebuchet MS"/>
        </w:rPr>
        <w:t>u</w:t>
      </w:r>
      <w:r w:rsidRPr="001B0988">
        <w:rPr>
          <w:rFonts w:ascii="Trebuchet MS" w:hAnsi="Trebuchet MS"/>
        </w:rPr>
        <w:t>schließen.</w:t>
      </w:r>
    </w:p>
    <w:p w:rsidR="002D17EF" w:rsidRDefault="002D17EF" w:rsidP="000B79C6">
      <w:pPr>
        <w:spacing w:line="360" w:lineRule="auto"/>
        <w:rPr>
          <w:rFonts w:ascii="Trebuchet MS" w:hAnsi="Trebuchet MS"/>
        </w:rPr>
      </w:pPr>
    </w:p>
    <w:p w:rsidR="008730F1" w:rsidRPr="003C37F3" w:rsidRDefault="002D17EF" w:rsidP="000B79C6">
      <w:pPr>
        <w:spacing w:line="360" w:lineRule="auto"/>
        <w:rPr>
          <w:rFonts w:ascii="Trebuchet MS" w:hAnsi="Trebuchet MS"/>
        </w:rPr>
      </w:pPr>
      <w:r>
        <w:rPr>
          <w:rFonts w:ascii="Trebuchet MS" w:hAnsi="Trebuchet MS"/>
        </w:rPr>
        <w:t xml:space="preserve">Ferner wäre zu </w:t>
      </w:r>
      <w:r w:rsidR="001B0988">
        <w:rPr>
          <w:rFonts w:ascii="Trebuchet MS" w:hAnsi="Trebuchet MS"/>
        </w:rPr>
        <w:t>wünschen, dass</w:t>
      </w:r>
      <w:r>
        <w:rPr>
          <w:rFonts w:ascii="Trebuchet MS" w:hAnsi="Trebuchet MS"/>
        </w:rPr>
        <w:t xml:space="preserve"> Maßnahmen ergriffen werden, um die Digitalkompetenz der Ärzte zu verbessern</w:t>
      </w:r>
      <w:r w:rsidR="00DE6DF2">
        <w:rPr>
          <w:rFonts w:ascii="Trebuchet MS" w:hAnsi="Trebuchet MS"/>
        </w:rPr>
        <w:t>; dies ist insbesondere vor dem Hintergrund notwendig, dass di</w:t>
      </w:r>
      <w:r w:rsidR="00DE6DF2">
        <w:rPr>
          <w:rFonts w:ascii="Trebuchet MS" w:hAnsi="Trebuchet MS"/>
        </w:rPr>
        <w:t>e</w:t>
      </w:r>
      <w:r w:rsidR="00DE6DF2">
        <w:rPr>
          <w:rFonts w:ascii="Trebuchet MS" w:hAnsi="Trebuchet MS"/>
        </w:rPr>
        <w:t>se zu digitalen Angeboten beraten sollen.</w:t>
      </w:r>
    </w:p>
    <w:p w:rsidR="00003900" w:rsidRDefault="00003900" w:rsidP="002D17EF">
      <w:pPr>
        <w:tabs>
          <w:tab w:val="left" w:pos="567"/>
        </w:tabs>
        <w:autoSpaceDE w:val="0"/>
        <w:autoSpaceDN w:val="0"/>
        <w:adjustRightInd w:val="0"/>
        <w:spacing w:line="320" w:lineRule="atLeast"/>
        <w:rPr>
          <w:rFonts w:ascii="Trebuchet MS" w:hAnsi="Trebuchet MS" w:cs="Melior Com"/>
          <w:color w:val="000000"/>
        </w:rPr>
      </w:pPr>
    </w:p>
    <w:p w:rsidR="00003900" w:rsidRDefault="00003900" w:rsidP="00F2335B">
      <w:pPr>
        <w:tabs>
          <w:tab w:val="left" w:pos="567"/>
        </w:tabs>
        <w:autoSpaceDE w:val="0"/>
        <w:autoSpaceDN w:val="0"/>
        <w:adjustRightInd w:val="0"/>
        <w:spacing w:line="320" w:lineRule="atLeast"/>
        <w:ind w:left="567" w:hanging="567"/>
        <w:rPr>
          <w:rFonts w:ascii="Trebuchet MS" w:hAnsi="Trebuchet MS" w:cs="Melior Com"/>
          <w:color w:val="000000"/>
        </w:rPr>
      </w:pPr>
      <w:r>
        <w:rPr>
          <w:rFonts w:ascii="Trebuchet MS" w:hAnsi="Trebuchet MS" w:cs="Melior Com"/>
          <w:color w:val="000000"/>
        </w:rPr>
        <w:t>Zu den Regelungen im Einzelnen:</w:t>
      </w:r>
    </w:p>
    <w:p w:rsidR="00003900" w:rsidRDefault="00003900" w:rsidP="00F2335B">
      <w:pPr>
        <w:tabs>
          <w:tab w:val="left" w:pos="567"/>
        </w:tabs>
        <w:autoSpaceDE w:val="0"/>
        <w:autoSpaceDN w:val="0"/>
        <w:adjustRightInd w:val="0"/>
        <w:spacing w:line="320" w:lineRule="atLeast"/>
        <w:ind w:left="567" w:hanging="567"/>
        <w:rPr>
          <w:rFonts w:ascii="Trebuchet MS" w:hAnsi="Trebuchet MS" w:cs="Melior Com"/>
          <w:color w:val="000000"/>
        </w:rPr>
      </w:pPr>
    </w:p>
    <w:p w:rsidR="00B415D1" w:rsidRPr="000125F5" w:rsidRDefault="00B415D1" w:rsidP="00B415D1">
      <w:pPr>
        <w:pStyle w:val="Listenabsatz"/>
        <w:numPr>
          <w:ilvl w:val="0"/>
          <w:numId w:val="10"/>
        </w:numPr>
        <w:rPr>
          <w:rFonts w:ascii="Trebuchet MS" w:hAnsi="Trebuchet MS"/>
          <w:b/>
          <w:bCs/>
        </w:rPr>
      </w:pPr>
      <w:r w:rsidRPr="000125F5">
        <w:rPr>
          <w:rFonts w:ascii="Trebuchet MS" w:hAnsi="Trebuchet MS"/>
          <w:b/>
          <w:bCs/>
        </w:rPr>
        <w:t xml:space="preserve">Anbindung der Apotheken an die </w:t>
      </w:r>
      <w:proofErr w:type="spellStart"/>
      <w:r w:rsidRPr="000125F5">
        <w:rPr>
          <w:rFonts w:ascii="Trebuchet MS" w:hAnsi="Trebuchet MS"/>
          <w:b/>
          <w:bCs/>
        </w:rPr>
        <w:t>Telematikinfrastruktur</w:t>
      </w:r>
      <w:proofErr w:type="spellEnd"/>
      <w:r w:rsidRPr="000125F5">
        <w:rPr>
          <w:rFonts w:ascii="Trebuchet MS" w:hAnsi="Trebuchet MS"/>
          <w:b/>
          <w:bCs/>
        </w:rPr>
        <w:t>, Referenzdatenbank für Arzneimittel im Medikationsplan (§ 31a SGB V)</w:t>
      </w:r>
    </w:p>
    <w:p w:rsidR="000125F5" w:rsidRPr="000125F5" w:rsidRDefault="000125F5" w:rsidP="000B79C6">
      <w:pPr>
        <w:rPr>
          <w:rFonts w:ascii="Trebuchet MS" w:hAnsi="Trebuchet MS"/>
          <w:b/>
        </w:rPr>
      </w:pPr>
    </w:p>
    <w:p w:rsidR="00B415D1" w:rsidRDefault="00B415D1" w:rsidP="00C5715D">
      <w:pPr>
        <w:spacing w:line="360" w:lineRule="auto"/>
        <w:rPr>
          <w:rFonts w:ascii="Trebuchet MS" w:hAnsi="Trebuchet MS"/>
        </w:rPr>
      </w:pPr>
      <w:r w:rsidRPr="000125F5">
        <w:rPr>
          <w:rFonts w:ascii="Trebuchet MS" w:hAnsi="Trebuchet MS"/>
        </w:rPr>
        <w:t xml:space="preserve">Aus der Sicht der BAG SELBSTHILFE ist sowohl die Anbindung der Apotheken an die </w:t>
      </w:r>
      <w:proofErr w:type="spellStart"/>
      <w:r w:rsidRPr="000125F5">
        <w:rPr>
          <w:rFonts w:ascii="Trebuchet MS" w:hAnsi="Trebuchet MS"/>
        </w:rPr>
        <w:t>Tel</w:t>
      </w:r>
      <w:r w:rsidRPr="000125F5">
        <w:rPr>
          <w:rFonts w:ascii="Trebuchet MS" w:hAnsi="Trebuchet MS"/>
        </w:rPr>
        <w:t>e</w:t>
      </w:r>
      <w:r w:rsidRPr="000125F5">
        <w:rPr>
          <w:rFonts w:ascii="Trebuchet MS" w:hAnsi="Trebuchet MS"/>
        </w:rPr>
        <w:t>matikinfrastruktur</w:t>
      </w:r>
      <w:proofErr w:type="spellEnd"/>
      <w:r w:rsidRPr="000125F5">
        <w:rPr>
          <w:rFonts w:ascii="Trebuchet MS" w:hAnsi="Trebuchet MS"/>
        </w:rPr>
        <w:t xml:space="preserve"> als auch die </w:t>
      </w:r>
      <w:r w:rsidR="000125F5" w:rsidRPr="000125F5">
        <w:rPr>
          <w:rFonts w:ascii="Trebuchet MS" w:hAnsi="Trebuchet MS"/>
        </w:rPr>
        <w:t>Referenzdatenbank für die Inhalte des Medikationsplans inhaltlich eine sinnvolle Lösung, soweit die Maßgaben des Datenschutzes beachtet we</w:t>
      </w:r>
      <w:r w:rsidR="000125F5" w:rsidRPr="000125F5">
        <w:rPr>
          <w:rFonts w:ascii="Trebuchet MS" w:hAnsi="Trebuchet MS"/>
        </w:rPr>
        <w:t>r</w:t>
      </w:r>
      <w:r w:rsidR="000125F5" w:rsidRPr="000125F5">
        <w:rPr>
          <w:rFonts w:ascii="Trebuchet MS" w:hAnsi="Trebuchet MS"/>
        </w:rPr>
        <w:t>den. Aus der Sicht der BAG SELBSTHILFE sollte jedoch die Aufgabe</w:t>
      </w:r>
      <w:r w:rsidR="003C37F3">
        <w:rPr>
          <w:rFonts w:ascii="Trebuchet MS" w:hAnsi="Trebuchet MS"/>
        </w:rPr>
        <w:t xml:space="preserve"> der Errichtung einer Referenzdatenbank</w:t>
      </w:r>
      <w:r w:rsidR="000125F5" w:rsidRPr="000125F5">
        <w:rPr>
          <w:rFonts w:ascii="Trebuchet MS" w:hAnsi="Trebuchet MS"/>
        </w:rPr>
        <w:t xml:space="preserve"> wegen der inhaltlichen Sachnähe und der Sensibilität der Daten auf das </w:t>
      </w:r>
      <w:proofErr w:type="spellStart"/>
      <w:r w:rsidR="000125F5" w:rsidRPr="000125F5">
        <w:rPr>
          <w:rFonts w:ascii="Trebuchet MS" w:hAnsi="Trebuchet MS"/>
        </w:rPr>
        <w:t>BfArM</w:t>
      </w:r>
      <w:proofErr w:type="spellEnd"/>
      <w:r w:rsidR="000125F5" w:rsidRPr="000125F5">
        <w:rPr>
          <w:rFonts w:ascii="Trebuchet MS" w:hAnsi="Trebuchet MS"/>
        </w:rPr>
        <w:t xml:space="preserve"> verlagert werden und nicht auf eine juristische Person des Privatrechtes.</w:t>
      </w:r>
    </w:p>
    <w:p w:rsidR="00720082" w:rsidRDefault="00720082" w:rsidP="00C5715D">
      <w:pPr>
        <w:spacing w:line="360" w:lineRule="auto"/>
        <w:rPr>
          <w:rFonts w:ascii="Trebuchet MS" w:hAnsi="Trebuchet MS"/>
        </w:rPr>
      </w:pPr>
    </w:p>
    <w:p w:rsidR="00720082" w:rsidRPr="000125F5" w:rsidRDefault="00720082" w:rsidP="00C5715D">
      <w:pPr>
        <w:spacing w:line="360" w:lineRule="auto"/>
        <w:rPr>
          <w:rFonts w:ascii="Trebuchet MS" w:hAnsi="Trebuchet MS"/>
        </w:rPr>
      </w:pPr>
      <w:r>
        <w:rPr>
          <w:rFonts w:ascii="Trebuchet MS" w:hAnsi="Trebuchet MS"/>
        </w:rPr>
        <w:t xml:space="preserve">Ferner bleibt aus der Sicht der BAG SELBSTHILFE nach dem vorliegenden Entwurf unklar, wie mit </w:t>
      </w:r>
      <w:r w:rsidR="00056BFE">
        <w:rPr>
          <w:rFonts w:ascii="Trebuchet MS" w:hAnsi="Trebuchet MS"/>
        </w:rPr>
        <w:t xml:space="preserve">Verordnungen im </w:t>
      </w:r>
      <w:r>
        <w:rPr>
          <w:rFonts w:ascii="Trebuchet MS" w:hAnsi="Trebuchet MS"/>
        </w:rPr>
        <w:t>sog. Off-Label-</w:t>
      </w:r>
      <w:proofErr w:type="spellStart"/>
      <w:r>
        <w:rPr>
          <w:rFonts w:ascii="Trebuchet MS" w:hAnsi="Trebuchet MS"/>
        </w:rPr>
        <w:t>Use</w:t>
      </w:r>
      <w:proofErr w:type="spellEnd"/>
      <w:r>
        <w:rPr>
          <w:rFonts w:ascii="Trebuchet MS" w:hAnsi="Trebuchet MS"/>
        </w:rPr>
        <w:t xml:space="preserve"> umgegangen werden kann. So müssen</w:t>
      </w:r>
      <w:r w:rsidR="00056BFE">
        <w:rPr>
          <w:rFonts w:ascii="Trebuchet MS" w:hAnsi="Trebuchet MS"/>
        </w:rPr>
        <w:t xml:space="preserve"> sich </w:t>
      </w:r>
      <w:r w:rsidR="00056BFE">
        <w:rPr>
          <w:rFonts w:ascii="Trebuchet MS" w:hAnsi="Trebuchet MS"/>
        </w:rPr>
        <w:lastRenderedPageBreak/>
        <w:t xml:space="preserve">die Angaben für die Wirkstoffe, die Darreichungsformen und die Wirkstärken </w:t>
      </w:r>
      <w:r>
        <w:rPr>
          <w:rFonts w:ascii="Trebuchet MS" w:hAnsi="Trebuchet MS"/>
        </w:rPr>
        <w:t>nach § 31a Abs. 3b</w:t>
      </w:r>
      <w:r w:rsidR="00056BFE">
        <w:rPr>
          <w:rFonts w:ascii="Trebuchet MS" w:hAnsi="Trebuchet MS"/>
        </w:rPr>
        <w:t xml:space="preserve"> </w:t>
      </w:r>
      <w:r w:rsidR="003C37F3">
        <w:rPr>
          <w:rFonts w:ascii="Trebuchet MS" w:hAnsi="Trebuchet MS"/>
        </w:rPr>
        <w:t xml:space="preserve">SGB V–Entwurf </w:t>
      </w:r>
      <w:r w:rsidR="00056BFE">
        <w:rPr>
          <w:rFonts w:ascii="Trebuchet MS" w:hAnsi="Trebuchet MS"/>
        </w:rPr>
        <w:t>im Einklang mit den Zulassungen, Registrierungen und Genehm</w:t>
      </w:r>
      <w:r w:rsidR="00056BFE">
        <w:rPr>
          <w:rFonts w:ascii="Trebuchet MS" w:hAnsi="Trebuchet MS"/>
        </w:rPr>
        <w:t>i</w:t>
      </w:r>
      <w:r w:rsidR="00056BFE">
        <w:rPr>
          <w:rFonts w:ascii="Trebuchet MS" w:hAnsi="Trebuchet MS"/>
        </w:rPr>
        <w:t xml:space="preserve">gung stehen. Beim Off-Label- </w:t>
      </w:r>
      <w:proofErr w:type="spellStart"/>
      <w:r w:rsidR="00056BFE">
        <w:rPr>
          <w:rFonts w:ascii="Trebuchet MS" w:hAnsi="Trebuchet MS"/>
        </w:rPr>
        <w:t>Use</w:t>
      </w:r>
      <w:proofErr w:type="spellEnd"/>
      <w:r w:rsidR="00056BFE">
        <w:rPr>
          <w:rFonts w:ascii="Trebuchet MS" w:hAnsi="Trebuchet MS"/>
        </w:rPr>
        <w:t xml:space="preserve"> gibt es allerdings nur eine kleine Zahl von Wirkstoffen, die von der sog. Off-Label-Kommission bewertet und vom GBA in die entsprechende AM-Richtlinie aufgenommen werden. </w:t>
      </w:r>
      <w:r w:rsidR="00DE6DF2">
        <w:rPr>
          <w:rFonts w:ascii="Trebuchet MS" w:hAnsi="Trebuchet MS"/>
        </w:rPr>
        <w:t>Dies bedeutet, dass für die Mehrheit der Off-Label M</w:t>
      </w:r>
      <w:r w:rsidR="00DE6DF2">
        <w:rPr>
          <w:rFonts w:ascii="Trebuchet MS" w:hAnsi="Trebuchet MS"/>
        </w:rPr>
        <w:t>e</w:t>
      </w:r>
      <w:r w:rsidR="00DE6DF2">
        <w:rPr>
          <w:rFonts w:ascii="Trebuchet MS" w:hAnsi="Trebuchet MS"/>
        </w:rPr>
        <w:t xml:space="preserve">dikamente klare „zulassungsähnliche“ Vorgaben fehlen. </w:t>
      </w:r>
      <w:r w:rsidR="00056BFE">
        <w:rPr>
          <w:rFonts w:ascii="Trebuchet MS" w:hAnsi="Trebuchet MS"/>
        </w:rPr>
        <w:t>Hier wird eine Klarstellung a</w:t>
      </w:r>
      <w:r w:rsidR="00056BFE">
        <w:rPr>
          <w:rFonts w:ascii="Trebuchet MS" w:hAnsi="Trebuchet MS"/>
        </w:rPr>
        <w:t>n</w:t>
      </w:r>
      <w:r w:rsidR="00056BFE">
        <w:rPr>
          <w:rFonts w:ascii="Trebuchet MS" w:hAnsi="Trebuchet MS"/>
        </w:rPr>
        <w:t>geregt, dass auch Medikamente im Off-Label-</w:t>
      </w:r>
      <w:proofErr w:type="spellStart"/>
      <w:r w:rsidR="00056BFE">
        <w:rPr>
          <w:rFonts w:ascii="Trebuchet MS" w:hAnsi="Trebuchet MS"/>
        </w:rPr>
        <w:t>Use</w:t>
      </w:r>
      <w:proofErr w:type="spellEnd"/>
      <w:r w:rsidR="00056BFE">
        <w:rPr>
          <w:rFonts w:ascii="Trebuchet MS" w:hAnsi="Trebuchet MS"/>
        </w:rPr>
        <w:t xml:space="preserve"> Eingang in den Medikationsplan finden und ein Abgleich eines entsprechend gekennzeichneten Medikament (etwa OLU) durch einen Experten stattfindet. </w:t>
      </w:r>
    </w:p>
    <w:p w:rsidR="00B415D1" w:rsidRDefault="00B415D1" w:rsidP="000B79C6"/>
    <w:p w:rsidR="000B79C6" w:rsidRPr="003464A7" w:rsidRDefault="00E5722D" w:rsidP="00C5715D">
      <w:pPr>
        <w:pStyle w:val="Listenabsatz"/>
        <w:numPr>
          <w:ilvl w:val="0"/>
          <w:numId w:val="10"/>
        </w:numPr>
        <w:rPr>
          <w:rFonts w:ascii="Trebuchet MS" w:hAnsi="Trebuchet MS"/>
          <w:b/>
          <w:bCs/>
        </w:rPr>
      </w:pPr>
      <w:r w:rsidRPr="003464A7">
        <w:rPr>
          <w:rFonts w:ascii="Trebuchet MS" w:hAnsi="Trebuchet MS"/>
          <w:b/>
          <w:bCs/>
        </w:rPr>
        <w:t>Definition der digitalen Gesundheitsanwendungen, Verzeichnis (§ 33a, 139e SGB V)</w:t>
      </w:r>
    </w:p>
    <w:p w:rsidR="000125F5" w:rsidRPr="003464A7" w:rsidRDefault="000125F5" w:rsidP="003464A7">
      <w:pPr>
        <w:spacing w:line="360" w:lineRule="auto"/>
        <w:rPr>
          <w:rFonts w:ascii="Trebuchet MS" w:hAnsi="Trebuchet MS"/>
        </w:rPr>
      </w:pPr>
    </w:p>
    <w:p w:rsidR="003464A7" w:rsidRPr="008A431E" w:rsidRDefault="003464A7" w:rsidP="003464A7">
      <w:pPr>
        <w:pStyle w:val="Listenabsatz"/>
        <w:numPr>
          <w:ilvl w:val="0"/>
          <w:numId w:val="13"/>
        </w:numPr>
        <w:tabs>
          <w:tab w:val="left" w:pos="567"/>
        </w:tabs>
        <w:spacing w:line="360" w:lineRule="auto"/>
        <w:rPr>
          <w:rFonts w:ascii="Trebuchet MS" w:hAnsi="Trebuchet MS"/>
          <w:b/>
        </w:rPr>
      </w:pPr>
      <w:r w:rsidRPr="008A431E">
        <w:rPr>
          <w:rFonts w:ascii="Trebuchet MS" w:hAnsi="Trebuchet MS"/>
          <w:b/>
        </w:rPr>
        <w:t>Allgemeine Bewertung</w:t>
      </w:r>
    </w:p>
    <w:p w:rsidR="003464A7" w:rsidRPr="005B42CD" w:rsidRDefault="003464A7" w:rsidP="003464A7">
      <w:pPr>
        <w:pStyle w:val="Listenabsatz"/>
        <w:tabs>
          <w:tab w:val="left" w:pos="567"/>
        </w:tabs>
        <w:spacing w:line="360" w:lineRule="auto"/>
        <w:rPr>
          <w:rFonts w:ascii="Trebuchet MS" w:hAnsi="Trebuchet MS"/>
        </w:rPr>
      </w:pPr>
    </w:p>
    <w:p w:rsidR="003464A7" w:rsidRPr="00C5715D" w:rsidRDefault="003464A7" w:rsidP="003464A7">
      <w:pPr>
        <w:tabs>
          <w:tab w:val="left" w:pos="567"/>
        </w:tabs>
        <w:spacing w:line="360" w:lineRule="auto"/>
        <w:rPr>
          <w:rFonts w:ascii="Trebuchet MS" w:hAnsi="Trebuchet MS"/>
        </w:rPr>
      </w:pPr>
      <w:r w:rsidRPr="00C5715D">
        <w:rPr>
          <w:rFonts w:ascii="Trebuchet MS" w:hAnsi="Trebuchet MS"/>
        </w:rPr>
        <w:t xml:space="preserve">Die BAG </w:t>
      </w:r>
      <w:r w:rsidR="00DE6DF2">
        <w:rPr>
          <w:rFonts w:ascii="Trebuchet MS" w:hAnsi="Trebuchet MS"/>
        </w:rPr>
        <w:t>SELBSTHILFE begrüßt, dass im Entwurf</w:t>
      </w:r>
      <w:r w:rsidRPr="00C5715D">
        <w:rPr>
          <w:rFonts w:ascii="Trebuchet MS" w:hAnsi="Trebuchet MS"/>
        </w:rPr>
        <w:t xml:space="preserve"> besondere Regelungen zur Bewertung digitaler Gesundheitsanwendungen vorgesehen sind</w:t>
      </w:r>
      <w:r w:rsidR="003C37F3">
        <w:rPr>
          <w:rFonts w:ascii="Trebuchet MS" w:hAnsi="Trebuchet MS"/>
        </w:rPr>
        <w:t xml:space="preserve"> und dass dies auf </w:t>
      </w:r>
      <w:r w:rsidR="00DE6DF2">
        <w:rPr>
          <w:rFonts w:ascii="Trebuchet MS" w:hAnsi="Trebuchet MS"/>
        </w:rPr>
        <w:t>Anw</w:t>
      </w:r>
      <w:r w:rsidR="003C37F3">
        <w:rPr>
          <w:rFonts w:ascii="Trebuchet MS" w:hAnsi="Trebuchet MS"/>
        </w:rPr>
        <w:t>endungen mit niedrigem Risiko beschränkt ist</w:t>
      </w:r>
      <w:r w:rsidRPr="00C5715D">
        <w:rPr>
          <w:rFonts w:ascii="Trebuchet MS" w:hAnsi="Trebuchet MS"/>
        </w:rPr>
        <w:t>. Die allgemeine Methodik der Nutzenbewertung von U</w:t>
      </w:r>
      <w:r w:rsidRPr="00C5715D">
        <w:rPr>
          <w:rFonts w:ascii="Trebuchet MS" w:hAnsi="Trebuchet MS"/>
        </w:rPr>
        <w:t>n</w:t>
      </w:r>
      <w:r w:rsidRPr="00C5715D">
        <w:rPr>
          <w:rFonts w:ascii="Trebuchet MS" w:hAnsi="Trebuchet MS"/>
        </w:rPr>
        <w:t>tersuchungs- und Behandlungsmethoden ist zur Bewertung von digitalen Gesundheitsa</w:t>
      </w:r>
      <w:r w:rsidRPr="00C5715D">
        <w:rPr>
          <w:rFonts w:ascii="Trebuchet MS" w:hAnsi="Trebuchet MS"/>
        </w:rPr>
        <w:t>n</w:t>
      </w:r>
      <w:r w:rsidRPr="00C5715D">
        <w:rPr>
          <w:rFonts w:ascii="Trebuchet MS" w:hAnsi="Trebuchet MS"/>
        </w:rPr>
        <w:t>wendungen nicht geeignet. Die große Dynamik der Entwicklung von digitalen Anwendu</w:t>
      </w:r>
      <w:r w:rsidRPr="00C5715D">
        <w:rPr>
          <w:rFonts w:ascii="Trebuchet MS" w:hAnsi="Trebuchet MS"/>
        </w:rPr>
        <w:t>n</w:t>
      </w:r>
      <w:r w:rsidRPr="00C5715D">
        <w:rPr>
          <w:rFonts w:ascii="Trebuchet MS" w:hAnsi="Trebuchet MS"/>
        </w:rPr>
        <w:t>gen kann nicht mit Verfahren begleitet werden, die jahrelange Studien mit darauffo</w:t>
      </w:r>
      <w:r w:rsidRPr="00C5715D">
        <w:rPr>
          <w:rFonts w:ascii="Trebuchet MS" w:hAnsi="Trebuchet MS"/>
        </w:rPr>
        <w:t>l</w:t>
      </w:r>
      <w:r w:rsidRPr="00C5715D">
        <w:rPr>
          <w:rFonts w:ascii="Trebuchet MS" w:hAnsi="Trebuchet MS"/>
        </w:rPr>
        <w:t>genden jahrelangen Bewertungsverfahren voraussetzen. Andererseits müssen auch dig</w:t>
      </w:r>
      <w:r w:rsidRPr="00C5715D">
        <w:rPr>
          <w:rFonts w:ascii="Trebuchet MS" w:hAnsi="Trebuchet MS"/>
        </w:rPr>
        <w:t>i</w:t>
      </w:r>
      <w:r w:rsidRPr="00C5715D">
        <w:rPr>
          <w:rFonts w:ascii="Trebuchet MS" w:hAnsi="Trebuchet MS"/>
        </w:rPr>
        <w:t>tale Anwendungen Nutzennachweise erbringen, und dürfen die Patientensicherheit nicht gefährden. Das nun vorgesehene Bewertungssystem, das entweder auf einer frühen Nu</w:t>
      </w:r>
      <w:r w:rsidRPr="00C5715D">
        <w:rPr>
          <w:rFonts w:ascii="Trebuchet MS" w:hAnsi="Trebuchet MS"/>
        </w:rPr>
        <w:t>t</w:t>
      </w:r>
      <w:r w:rsidRPr="00C5715D">
        <w:rPr>
          <w:rFonts w:ascii="Trebuchet MS" w:hAnsi="Trebuchet MS"/>
        </w:rPr>
        <w:t xml:space="preserve">zenbewertung oder </w:t>
      </w:r>
      <w:r>
        <w:rPr>
          <w:rFonts w:ascii="Trebuchet MS" w:hAnsi="Trebuchet MS"/>
        </w:rPr>
        <w:t xml:space="preserve">auf </w:t>
      </w:r>
      <w:r w:rsidRPr="00C5715D">
        <w:rPr>
          <w:rFonts w:ascii="Trebuchet MS" w:hAnsi="Trebuchet MS"/>
        </w:rPr>
        <w:t>einer anschließenden begleitenden Evaluation beruht, ist aus Sicht der BAG SELBSTHILFE zwar im Grundsatz als adäquat anzusehen. In den Regelungen der Rechtsverordnung muss jedoch klar geregelt sein, dass die Nachweise für eine Erpr</w:t>
      </w:r>
      <w:r w:rsidRPr="00C5715D">
        <w:rPr>
          <w:rFonts w:ascii="Trebuchet MS" w:hAnsi="Trebuchet MS"/>
        </w:rPr>
        <w:t>o</w:t>
      </w:r>
      <w:r w:rsidRPr="00C5715D">
        <w:rPr>
          <w:rFonts w:ascii="Trebuchet MS" w:hAnsi="Trebuchet MS"/>
        </w:rPr>
        <w:t xml:space="preserve">bung so ausgestaltet sein müssen, dass </w:t>
      </w:r>
      <w:r>
        <w:rPr>
          <w:rFonts w:ascii="Trebuchet MS" w:hAnsi="Trebuchet MS"/>
        </w:rPr>
        <w:t xml:space="preserve">mögliche </w:t>
      </w:r>
      <w:r w:rsidRPr="00C5715D">
        <w:rPr>
          <w:rFonts w:ascii="Trebuchet MS" w:hAnsi="Trebuchet MS"/>
        </w:rPr>
        <w:t xml:space="preserve">Schäden für Patientinnen und Patienten </w:t>
      </w:r>
      <w:r>
        <w:rPr>
          <w:rFonts w:ascii="Trebuchet MS" w:hAnsi="Trebuchet MS"/>
        </w:rPr>
        <w:t xml:space="preserve">in der Erprobung </w:t>
      </w:r>
      <w:r w:rsidRPr="00C5715D">
        <w:rPr>
          <w:rFonts w:ascii="Trebuchet MS" w:hAnsi="Trebuchet MS"/>
        </w:rPr>
        <w:t xml:space="preserve">weitgehend ausgeschlossen sind. </w:t>
      </w:r>
      <w:r>
        <w:rPr>
          <w:rFonts w:ascii="Trebuchet MS" w:hAnsi="Trebuchet MS"/>
        </w:rPr>
        <w:t>Es bleibt unklar, ob die dargestellten Begriffe der Sicherheit und Qualität bzw. die entsprechend noch zu erstellende Recht</w:t>
      </w:r>
      <w:r>
        <w:rPr>
          <w:rFonts w:ascii="Trebuchet MS" w:hAnsi="Trebuchet MS"/>
        </w:rPr>
        <w:t>s</w:t>
      </w:r>
      <w:r>
        <w:rPr>
          <w:rFonts w:ascii="Trebuchet MS" w:hAnsi="Trebuchet MS"/>
        </w:rPr>
        <w:t>verordnung dazu führen, dass hinreichend gute Nachweise für diese Maßgabe vorliegen müssen.</w:t>
      </w:r>
    </w:p>
    <w:p w:rsidR="003464A7" w:rsidRPr="00C5715D" w:rsidRDefault="003464A7" w:rsidP="003464A7">
      <w:pPr>
        <w:tabs>
          <w:tab w:val="left" w:pos="567"/>
        </w:tabs>
        <w:spacing w:line="360" w:lineRule="auto"/>
        <w:rPr>
          <w:rFonts w:ascii="Trebuchet MS" w:hAnsi="Trebuchet MS"/>
        </w:rPr>
      </w:pPr>
    </w:p>
    <w:p w:rsidR="003464A7" w:rsidRPr="00C5715D" w:rsidRDefault="003464A7" w:rsidP="003464A7">
      <w:pPr>
        <w:tabs>
          <w:tab w:val="left" w:pos="567"/>
        </w:tabs>
        <w:spacing w:line="360" w:lineRule="auto"/>
        <w:rPr>
          <w:rFonts w:ascii="Trebuchet MS" w:hAnsi="Trebuchet MS"/>
        </w:rPr>
      </w:pPr>
      <w:r>
        <w:rPr>
          <w:rFonts w:ascii="Trebuchet MS" w:hAnsi="Trebuchet MS"/>
        </w:rPr>
        <w:t>Ferner sollte aus der Sicht der BAG SELBSTHILFE der Begriff der positiven Versorgungse</w:t>
      </w:r>
      <w:r>
        <w:rPr>
          <w:rFonts w:ascii="Trebuchet MS" w:hAnsi="Trebuchet MS"/>
        </w:rPr>
        <w:t>f</w:t>
      </w:r>
      <w:r>
        <w:rPr>
          <w:rFonts w:ascii="Trebuchet MS" w:hAnsi="Trebuchet MS"/>
        </w:rPr>
        <w:t xml:space="preserve">fekte ausgefüllt werden. </w:t>
      </w:r>
      <w:r w:rsidRPr="00C5715D">
        <w:rPr>
          <w:rFonts w:ascii="Trebuchet MS" w:hAnsi="Trebuchet MS"/>
        </w:rPr>
        <w:t>Insgesamt muss sich die Nutzenbewertung digitaler Gesun</w:t>
      </w:r>
      <w:r w:rsidRPr="00C5715D">
        <w:rPr>
          <w:rFonts w:ascii="Trebuchet MS" w:hAnsi="Trebuchet MS"/>
        </w:rPr>
        <w:t>d</w:t>
      </w:r>
      <w:r w:rsidRPr="00C5715D">
        <w:rPr>
          <w:rFonts w:ascii="Trebuchet MS" w:hAnsi="Trebuchet MS"/>
        </w:rPr>
        <w:lastRenderedPageBreak/>
        <w:t xml:space="preserve">heitsanwendungen an patientenrelevanten Endpunkten </w:t>
      </w:r>
      <w:r>
        <w:rPr>
          <w:rFonts w:ascii="Trebuchet MS" w:hAnsi="Trebuchet MS"/>
        </w:rPr>
        <w:t>bzw. bei Diagnostika an der en</w:t>
      </w:r>
      <w:r>
        <w:rPr>
          <w:rFonts w:ascii="Trebuchet MS" w:hAnsi="Trebuchet MS"/>
        </w:rPr>
        <w:t>t</w:t>
      </w:r>
      <w:r>
        <w:rPr>
          <w:rFonts w:ascii="Trebuchet MS" w:hAnsi="Trebuchet MS"/>
        </w:rPr>
        <w:t xml:space="preserve">sprechenden </w:t>
      </w:r>
      <w:proofErr w:type="spellStart"/>
      <w:r>
        <w:rPr>
          <w:rFonts w:ascii="Trebuchet MS" w:hAnsi="Trebuchet MS"/>
        </w:rPr>
        <w:t>Testgüte</w:t>
      </w:r>
      <w:proofErr w:type="spellEnd"/>
      <w:r>
        <w:rPr>
          <w:rFonts w:ascii="Trebuchet MS" w:hAnsi="Trebuchet MS"/>
        </w:rPr>
        <w:t xml:space="preserve"> </w:t>
      </w:r>
      <w:r w:rsidRPr="00C5715D">
        <w:rPr>
          <w:rFonts w:ascii="Trebuchet MS" w:hAnsi="Trebuchet MS"/>
        </w:rPr>
        <w:t>orientie</w:t>
      </w:r>
      <w:r>
        <w:rPr>
          <w:rFonts w:ascii="Trebuchet MS" w:hAnsi="Trebuchet MS"/>
        </w:rPr>
        <w:t>ren. Auch deswegen</w:t>
      </w:r>
      <w:r w:rsidRPr="00C5715D">
        <w:rPr>
          <w:rFonts w:ascii="Trebuchet MS" w:hAnsi="Trebuchet MS"/>
        </w:rPr>
        <w:t xml:space="preserve"> sollte</w:t>
      </w:r>
      <w:r>
        <w:rPr>
          <w:rFonts w:ascii="Trebuchet MS" w:hAnsi="Trebuchet MS"/>
        </w:rPr>
        <w:t xml:space="preserve"> eine entsprechende Vorschrift aufgenommen werden, dass sowohl für die Diskussion, ob ein positiver Versorgungseffekt vorliegt, als auch für die Festlegung der entsprechenden – offenbar sehr komplexen - Verfahrensregelungen,</w:t>
      </w:r>
      <w:r w:rsidRPr="00C5715D">
        <w:rPr>
          <w:rFonts w:ascii="Trebuchet MS" w:hAnsi="Trebuchet MS"/>
        </w:rPr>
        <w:t xml:space="preserve"> </w:t>
      </w:r>
      <w:r w:rsidR="003C37F3">
        <w:rPr>
          <w:rFonts w:ascii="Trebuchet MS" w:hAnsi="Trebuchet MS"/>
        </w:rPr>
        <w:t xml:space="preserve">eine </w:t>
      </w:r>
      <w:r w:rsidRPr="00C5715D">
        <w:rPr>
          <w:rFonts w:ascii="Trebuchet MS" w:hAnsi="Trebuchet MS"/>
        </w:rPr>
        <w:t>Patien</w:t>
      </w:r>
      <w:r w:rsidR="003C37F3">
        <w:rPr>
          <w:rFonts w:ascii="Trebuchet MS" w:hAnsi="Trebuchet MS"/>
        </w:rPr>
        <w:t>tenbeteiligung vorgesehen wird</w:t>
      </w:r>
      <w:r w:rsidRPr="00C5715D">
        <w:rPr>
          <w:rFonts w:ascii="Trebuchet MS" w:hAnsi="Trebuchet MS"/>
        </w:rPr>
        <w:t>. Gerade die Betroff</w:t>
      </w:r>
      <w:r w:rsidRPr="00C5715D">
        <w:rPr>
          <w:rFonts w:ascii="Trebuchet MS" w:hAnsi="Trebuchet MS"/>
        </w:rPr>
        <w:t>e</w:t>
      </w:r>
      <w:r w:rsidRPr="00C5715D">
        <w:rPr>
          <w:rFonts w:ascii="Trebuchet MS" w:hAnsi="Trebuchet MS"/>
        </w:rPr>
        <w:t>nen verfügen nämlich – häufig aus der Selbstanwendung – über die notwendigen Kenn</w:t>
      </w:r>
      <w:r w:rsidRPr="00C5715D">
        <w:rPr>
          <w:rFonts w:ascii="Trebuchet MS" w:hAnsi="Trebuchet MS"/>
        </w:rPr>
        <w:t>t</w:t>
      </w:r>
      <w:r w:rsidRPr="00C5715D">
        <w:rPr>
          <w:rFonts w:ascii="Trebuchet MS" w:hAnsi="Trebuchet MS"/>
        </w:rPr>
        <w:t>nisse, welche digitalen Gesundheitsanwendungen insbesondere für das Selbstmanag</w:t>
      </w:r>
      <w:r w:rsidRPr="00C5715D">
        <w:rPr>
          <w:rFonts w:ascii="Trebuchet MS" w:hAnsi="Trebuchet MS"/>
        </w:rPr>
        <w:t>e</w:t>
      </w:r>
      <w:r w:rsidRPr="00C5715D">
        <w:rPr>
          <w:rFonts w:ascii="Trebuchet MS" w:hAnsi="Trebuchet MS"/>
        </w:rPr>
        <w:t xml:space="preserve">ment einer Erkrankung sinnvoll sind und welche überflüssig sind. </w:t>
      </w:r>
    </w:p>
    <w:p w:rsidR="003464A7" w:rsidRPr="00C5715D" w:rsidRDefault="003464A7" w:rsidP="003464A7">
      <w:pPr>
        <w:tabs>
          <w:tab w:val="left" w:pos="567"/>
        </w:tabs>
        <w:spacing w:line="360" w:lineRule="auto"/>
        <w:rPr>
          <w:rFonts w:ascii="Trebuchet MS" w:hAnsi="Trebuchet MS"/>
        </w:rPr>
      </w:pPr>
    </w:p>
    <w:p w:rsidR="003464A7" w:rsidRDefault="003464A7" w:rsidP="003464A7">
      <w:pPr>
        <w:tabs>
          <w:tab w:val="left" w:pos="567"/>
        </w:tabs>
        <w:spacing w:line="360" w:lineRule="auto"/>
        <w:rPr>
          <w:rFonts w:ascii="Trebuchet MS" w:hAnsi="Trebuchet MS"/>
        </w:rPr>
      </w:pPr>
      <w:r w:rsidRPr="00C5715D">
        <w:rPr>
          <w:rFonts w:ascii="Trebuchet MS" w:hAnsi="Trebuchet MS"/>
        </w:rPr>
        <w:t>Klärungsbedarf sieht die BAG SELBSTHILFE allerdings für die Fälle, in denen eine digitale Gesundheitsanwendung prägend für ein neue Untersuchungs- oder Behandlungsmethode beziehungsweise für eine Versorgungsform ist. Hier heißt es in der Begründung, dass „die Leistungsansprüche der Versicherten nach anderen Vorschriften unberührt bleiben“. Ist die digitale Gesundheitsanwendung jedoch Teil einer neuen Untersuchungs- und Behan</w:t>
      </w:r>
      <w:r w:rsidRPr="00C5715D">
        <w:rPr>
          <w:rFonts w:ascii="Trebuchet MS" w:hAnsi="Trebuchet MS"/>
        </w:rPr>
        <w:t>d</w:t>
      </w:r>
      <w:r w:rsidRPr="00C5715D">
        <w:rPr>
          <w:rFonts w:ascii="Trebuchet MS" w:hAnsi="Trebuchet MS"/>
        </w:rPr>
        <w:t>lungsmethode oder ist sie selbst als solche zu qualifizieren, hat der Versicherte im a</w:t>
      </w:r>
      <w:r w:rsidRPr="00C5715D">
        <w:rPr>
          <w:rFonts w:ascii="Trebuchet MS" w:hAnsi="Trebuchet MS"/>
        </w:rPr>
        <w:t>m</w:t>
      </w:r>
      <w:r w:rsidRPr="00C5715D">
        <w:rPr>
          <w:rFonts w:ascii="Trebuchet MS" w:hAnsi="Trebuchet MS"/>
        </w:rPr>
        <w:t>bulanten Bereich nur einen Anspruch darauf, wenn der Gemeinsame Bundesausschuss einen positiven Beschluss nach einer Methodenbewertung gefasst hat oder es selekti</w:t>
      </w:r>
      <w:r w:rsidRPr="00C5715D">
        <w:rPr>
          <w:rFonts w:ascii="Trebuchet MS" w:hAnsi="Trebuchet MS"/>
        </w:rPr>
        <w:t>v</w:t>
      </w:r>
      <w:r w:rsidRPr="00C5715D">
        <w:rPr>
          <w:rFonts w:ascii="Trebuchet MS" w:hAnsi="Trebuchet MS"/>
        </w:rPr>
        <w:t>vertragliche Regelungen gibt. Ansonsten greift die Sperrwirkung des § 135 SGB V und der Versicherte hat erst einmal keinen Anspruch auf diese Methode. Das Problem hier ist, dass die Definition der Untersuchungs- und Behandlungsmethode in der neuesten Rech</w:t>
      </w:r>
      <w:r w:rsidRPr="00C5715D">
        <w:rPr>
          <w:rFonts w:ascii="Trebuchet MS" w:hAnsi="Trebuchet MS"/>
        </w:rPr>
        <w:t>t</w:t>
      </w:r>
      <w:r w:rsidRPr="00C5715D">
        <w:rPr>
          <w:rFonts w:ascii="Trebuchet MS" w:hAnsi="Trebuchet MS"/>
        </w:rPr>
        <w:t xml:space="preserve">sprechung so </w:t>
      </w:r>
      <w:proofErr w:type="spellStart"/>
      <w:r w:rsidRPr="00C5715D">
        <w:rPr>
          <w:rFonts w:ascii="Trebuchet MS" w:hAnsi="Trebuchet MS"/>
        </w:rPr>
        <w:t>unkonturiert</w:t>
      </w:r>
      <w:proofErr w:type="spellEnd"/>
      <w:r w:rsidRPr="00C5715D">
        <w:rPr>
          <w:rFonts w:ascii="Trebuchet MS" w:hAnsi="Trebuchet MS"/>
        </w:rPr>
        <w:t xml:space="preserve"> und weit ist, dass sich hier häufig keine klare Abgrenzung treffen lässt. Vor diesem Hintergrund wird es für dringend notwendig gehalten, eine kl</w:t>
      </w:r>
      <w:r w:rsidRPr="00C5715D">
        <w:rPr>
          <w:rFonts w:ascii="Trebuchet MS" w:hAnsi="Trebuchet MS"/>
        </w:rPr>
        <w:t>a</w:t>
      </w:r>
      <w:r w:rsidRPr="00C5715D">
        <w:rPr>
          <w:rFonts w:ascii="Trebuchet MS" w:hAnsi="Trebuchet MS"/>
        </w:rPr>
        <w:t>re Legaldefinition für das Vorliegen einer neuen Untersuchungs- und Behandlungsmeth</w:t>
      </w:r>
      <w:r w:rsidRPr="00C5715D">
        <w:rPr>
          <w:rFonts w:ascii="Trebuchet MS" w:hAnsi="Trebuchet MS"/>
        </w:rPr>
        <w:t>o</w:t>
      </w:r>
      <w:r w:rsidRPr="00C5715D">
        <w:rPr>
          <w:rFonts w:ascii="Trebuchet MS" w:hAnsi="Trebuchet MS"/>
        </w:rPr>
        <w:t>de zu schaffen, welche sich im Wesentlichen an den (neuen) Risiken für Patientinnen und Patienten orientiert. Diese Legaldefinition kann auch hilfreich für die Abgrenzung einer Methode von Hilfsmitteln im engeren Sinne und der Abgrenzung zu ärztlichen Ei</w:t>
      </w:r>
      <w:r w:rsidRPr="00C5715D">
        <w:rPr>
          <w:rFonts w:ascii="Trebuchet MS" w:hAnsi="Trebuchet MS"/>
        </w:rPr>
        <w:t>n</w:t>
      </w:r>
      <w:r w:rsidRPr="00C5715D">
        <w:rPr>
          <w:rFonts w:ascii="Trebuchet MS" w:hAnsi="Trebuchet MS"/>
        </w:rPr>
        <w:t xml:space="preserve">zelleistungen sein. Auch hier gibt es immer wieder Schwierigkeiten in der Zuordnung zu einem Leistungsbereich. </w:t>
      </w:r>
    </w:p>
    <w:p w:rsidR="002D17EF" w:rsidRDefault="002D17EF" w:rsidP="003464A7">
      <w:pPr>
        <w:tabs>
          <w:tab w:val="left" w:pos="567"/>
        </w:tabs>
        <w:spacing w:line="360" w:lineRule="auto"/>
        <w:rPr>
          <w:rFonts w:ascii="Trebuchet MS" w:hAnsi="Trebuchet MS"/>
        </w:rPr>
      </w:pPr>
    </w:p>
    <w:p w:rsidR="002D17EF" w:rsidRPr="00C5715D" w:rsidRDefault="002D17EF" w:rsidP="003464A7">
      <w:pPr>
        <w:tabs>
          <w:tab w:val="left" w:pos="567"/>
        </w:tabs>
        <w:spacing w:line="360" w:lineRule="auto"/>
        <w:rPr>
          <w:rFonts w:ascii="Trebuchet MS" w:hAnsi="Trebuchet MS"/>
        </w:rPr>
      </w:pPr>
      <w:r>
        <w:rPr>
          <w:rFonts w:ascii="Trebuchet MS" w:hAnsi="Trebuchet MS"/>
        </w:rPr>
        <w:t>Begrüßt wird zudem, dass der Anspruch als Sachleistungsanspruch und nur im Ausnahm</w:t>
      </w:r>
      <w:r>
        <w:rPr>
          <w:rFonts w:ascii="Trebuchet MS" w:hAnsi="Trebuchet MS"/>
        </w:rPr>
        <w:t>e</w:t>
      </w:r>
      <w:r>
        <w:rPr>
          <w:rFonts w:ascii="Trebuchet MS" w:hAnsi="Trebuchet MS"/>
        </w:rPr>
        <w:t>fall als Kostenerstattungsanspruch ausgestaltet werden soll. Es bleibt allerdings unklar, wann dieser Ausnahmefall greifen soll. Ferner sollen offenbar Höchstgrenzen für die E</w:t>
      </w:r>
      <w:r>
        <w:rPr>
          <w:rFonts w:ascii="Trebuchet MS" w:hAnsi="Trebuchet MS"/>
        </w:rPr>
        <w:t>r</w:t>
      </w:r>
      <w:r>
        <w:rPr>
          <w:rFonts w:ascii="Trebuchet MS" w:hAnsi="Trebuchet MS"/>
        </w:rPr>
        <w:t>stattung vereinbart werden, die</w:t>
      </w:r>
      <w:r w:rsidR="00DE6DF2">
        <w:rPr>
          <w:rFonts w:ascii="Trebuchet MS" w:hAnsi="Trebuchet MS"/>
        </w:rPr>
        <w:t xml:space="preserve"> dann doch vermutlich</w:t>
      </w:r>
      <w:r>
        <w:rPr>
          <w:rFonts w:ascii="Trebuchet MS" w:hAnsi="Trebuchet MS"/>
        </w:rPr>
        <w:t xml:space="preserve"> zu </w:t>
      </w:r>
      <w:proofErr w:type="spellStart"/>
      <w:r>
        <w:rPr>
          <w:rFonts w:ascii="Trebuchet MS" w:hAnsi="Trebuchet MS"/>
        </w:rPr>
        <w:t>Selbstzahlerleistungen</w:t>
      </w:r>
      <w:proofErr w:type="spellEnd"/>
      <w:r>
        <w:rPr>
          <w:rFonts w:ascii="Trebuchet MS" w:hAnsi="Trebuchet MS"/>
        </w:rPr>
        <w:t xml:space="preserve"> </w:t>
      </w:r>
      <w:r w:rsidR="00B94849">
        <w:rPr>
          <w:rFonts w:ascii="Trebuchet MS" w:hAnsi="Trebuchet MS"/>
        </w:rPr>
        <w:t xml:space="preserve">führen </w:t>
      </w:r>
      <w:r w:rsidR="00B94849">
        <w:rPr>
          <w:rFonts w:ascii="Trebuchet MS" w:hAnsi="Trebuchet MS"/>
        </w:rPr>
        <w:lastRenderedPageBreak/>
        <w:t>werden; hier sollte sichergestellt werden, dass dies nicht als Geschäftsstrategie genutzt wird (Basis- und Ausbauversion).</w:t>
      </w:r>
    </w:p>
    <w:p w:rsidR="003464A7" w:rsidRPr="003464A7" w:rsidRDefault="003464A7" w:rsidP="003464A7">
      <w:pPr>
        <w:spacing w:line="360" w:lineRule="auto"/>
        <w:rPr>
          <w:rFonts w:ascii="Trebuchet MS" w:hAnsi="Trebuchet MS"/>
        </w:rPr>
      </w:pPr>
    </w:p>
    <w:p w:rsidR="005B42CD" w:rsidRPr="008A431E" w:rsidRDefault="005B42CD" w:rsidP="003464A7">
      <w:pPr>
        <w:pStyle w:val="Listenabsatz"/>
        <w:numPr>
          <w:ilvl w:val="0"/>
          <w:numId w:val="11"/>
        </w:numPr>
        <w:spacing w:line="360" w:lineRule="auto"/>
        <w:rPr>
          <w:rFonts w:ascii="Trebuchet MS" w:hAnsi="Trebuchet MS"/>
          <w:b/>
        </w:rPr>
      </w:pPr>
      <w:r w:rsidRPr="008A431E">
        <w:rPr>
          <w:rFonts w:ascii="Trebuchet MS" w:hAnsi="Trebuchet MS"/>
          <w:b/>
        </w:rPr>
        <w:t xml:space="preserve">Barrierefreiheit der Anwendungen </w:t>
      </w:r>
    </w:p>
    <w:p w:rsidR="005B42CD" w:rsidRPr="003464A7" w:rsidRDefault="005B42CD" w:rsidP="003464A7">
      <w:pPr>
        <w:pStyle w:val="Listenabsatz"/>
        <w:spacing w:line="360" w:lineRule="auto"/>
        <w:rPr>
          <w:rFonts w:ascii="Trebuchet MS" w:hAnsi="Trebuchet MS"/>
        </w:rPr>
      </w:pPr>
    </w:p>
    <w:p w:rsidR="005B42CD" w:rsidRDefault="005B42CD" w:rsidP="003464A7">
      <w:pPr>
        <w:spacing w:line="360" w:lineRule="auto"/>
        <w:rPr>
          <w:rFonts w:ascii="Trebuchet MS" w:hAnsi="Trebuchet MS"/>
        </w:rPr>
      </w:pPr>
      <w:r w:rsidRPr="003464A7">
        <w:rPr>
          <w:rFonts w:ascii="Trebuchet MS" w:hAnsi="Trebuchet MS"/>
        </w:rPr>
        <w:t>Aus der Sicht der BAG SELBSTHILFE sind die Z</w:t>
      </w:r>
      <w:r w:rsidR="00D33E2F">
        <w:rPr>
          <w:rFonts w:ascii="Trebuchet MS" w:hAnsi="Trebuchet MS"/>
        </w:rPr>
        <w:t>ulassungsvoraussetzungen der</w:t>
      </w:r>
      <w:r w:rsidRPr="003464A7">
        <w:rPr>
          <w:rFonts w:ascii="Trebuchet MS" w:hAnsi="Trebuchet MS"/>
        </w:rPr>
        <w:t xml:space="preserve"> digitalen A</w:t>
      </w:r>
      <w:r w:rsidRPr="003464A7">
        <w:rPr>
          <w:rFonts w:ascii="Trebuchet MS" w:hAnsi="Trebuchet MS"/>
        </w:rPr>
        <w:t>n</w:t>
      </w:r>
      <w:r w:rsidRPr="003464A7">
        <w:rPr>
          <w:rFonts w:ascii="Trebuchet MS" w:hAnsi="Trebuchet MS"/>
        </w:rPr>
        <w:t>wendungen unbedingt an das Erfordernis der Barrierefreiheit zu knüpfen. Das ist weder durch die bislang bestehenden, noch die mit dem Gesetzentwurf vorgesehenen Regelu</w:t>
      </w:r>
      <w:r w:rsidRPr="003464A7">
        <w:rPr>
          <w:rFonts w:ascii="Trebuchet MS" w:hAnsi="Trebuchet MS"/>
        </w:rPr>
        <w:t>n</w:t>
      </w:r>
      <w:r w:rsidRPr="003464A7">
        <w:rPr>
          <w:rFonts w:ascii="Trebuchet MS" w:hAnsi="Trebuchet MS"/>
        </w:rPr>
        <w:t>gen gewährleistet.</w:t>
      </w:r>
    </w:p>
    <w:p w:rsidR="00DE6DF2" w:rsidRPr="003464A7" w:rsidRDefault="00DE6DF2" w:rsidP="003464A7">
      <w:pPr>
        <w:spacing w:line="360" w:lineRule="auto"/>
        <w:rPr>
          <w:rFonts w:ascii="Trebuchet MS" w:hAnsi="Trebuchet MS"/>
        </w:rPr>
      </w:pPr>
    </w:p>
    <w:p w:rsidR="005B42CD" w:rsidRPr="003464A7" w:rsidRDefault="005B42CD" w:rsidP="003464A7">
      <w:pPr>
        <w:spacing w:line="360" w:lineRule="auto"/>
        <w:rPr>
          <w:rFonts w:ascii="Trebuchet MS" w:hAnsi="Trebuchet MS"/>
        </w:rPr>
      </w:pPr>
      <w:r w:rsidRPr="003464A7">
        <w:rPr>
          <w:rFonts w:ascii="Trebuchet MS" w:hAnsi="Trebuchet MS"/>
        </w:rPr>
        <w:t>Zwar sind gesetzliche Krankenkassen an sich als öffentliche Stellen im Sinne von § 12 des Behindertengleichstellungsgesetzes des Bundes (BGG) verpflichtet, ihre Webseiten und mobilen Anwendungen barrierefrei zugänglich zu machen (§ 12a ff. BGG). Diese Ve</w:t>
      </w:r>
      <w:r w:rsidRPr="003464A7">
        <w:rPr>
          <w:rFonts w:ascii="Trebuchet MS" w:hAnsi="Trebuchet MS"/>
        </w:rPr>
        <w:t>r</w:t>
      </w:r>
      <w:r w:rsidRPr="003464A7">
        <w:rPr>
          <w:rFonts w:ascii="Trebuchet MS" w:hAnsi="Trebuchet MS"/>
        </w:rPr>
        <w:t>pflichtung gilt aber nicht unmittelbar für Leistungserbringer, deren sich Krankenkassen zur Erfüllung ihrer Aufgaben bedienen.</w:t>
      </w:r>
    </w:p>
    <w:p w:rsidR="00DE6DF2" w:rsidRDefault="00DE6DF2" w:rsidP="003464A7">
      <w:pPr>
        <w:spacing w:line="360" w:lineRule="auto"/>
        <w:rPr>
          <w:rFonts w:ascii="Trebuchet MS" w:hAnsi="Trebuchet MS"/>
        </w:rPr>
      </w:pPr>
    </w:p>
    <w:p w:rsidR="005B42CD" w:rsidRPr="003464A7" w:rsidRDefault="005B42CD" w:rsidP="003464A7">
      <w:pPr>
        <w:spacing w:line="360" w:lineRule="auto"/>
        <w:rPr>
          <w:rFonts w:ascii="Trebuchet MS" w:hAnsi="Trebuchet MS"/>
        </w:rPr>
      </w:pPr>
      <w:r w:rsidRPr="003464A7">
        <w:rPr>
          <w:rFonts w:ascii="Trebuchet MS" w:hAnsi="Trebuchet MS"/>
        </w:rPr>
        <w:t>Andererseits sind gesetzliche Krankenkassen verpflichtet, Sozialleistungen – und dazu gehören auch die Leistungen nach § 33a SGB V_E in zeitgemäßer Weise (§ 17 Abs. 1 Nr. 1 SGB I) und diskriminierungsfrei (§ 33c SGB I) zur Verfügung zu stellen, wobei gem. § 2a SGB V den besonderen Belangen behinderter Menschen Rechnung zu tragen ist. Daraus resultiert ein Handlungsauftrag zur Sicherstellung einer barrierefreien Gesundheitsve</w:t>
      </w:r>
      <w:r w:rsidRPr="003464A7">
        <w:rPr>
          <w:rFonts w:ascii="Trebuchet MS" w:hAnsi="Trebuchet MS"/>
        </w:rPr>
        <w:t>r</w:t>
      </w:r>
      <w:r w:rsidRPr="003464A7">
        <w:rPr>
          <w:rFonts w:ascii="Trebuchet MS" w:hAnsi="Trebuchet MS"/>
        </w:rPr>
        <w:t>sorgung, der sich auch auf digitale Anwendungen erstreckt.</w:t>
      </w:r>
    </w:p>
    <w:p w:rsidR="005B42CD" w:rsidRPr="003464A7" w:rsidRDefault="005B42CD" w:rsidP="003464A7">
      <w:pPr>
        <w:spacing w:line="360" w:lineRule="auto"/>
        <w:rPr>
          <w:rFonts w:ascii="Trebuchet MS" w:hAnsi="Trebuchet MS"/>
        </w:rPr>
      </w:pPr>
    </w:p>
    <w:p w:rsidR="005B42CD" w:rsidRPr="003464A7" w:rsidRDefault="005B42CD" w:rsidP="003464A7">
      <w:pPr>
        <w:spacing w:line="360" w:lineRule="auto"/>
        <w:rPr>
          <w:rFonts w:ascii="Trebuchet MS" w:hAnsi="Trebuchet MS"/>
        </w:rPr>
      </w:pPr>
      <w:r w:rsidRPr="003464A7">
        <w:rPr>
          <w:rFonts w:ascii="Trebuchet MS" w:hAnsi="Trebuchet MS"/>
        </w:rPr>
        <w:t>Leider ist zu verzeichnen, dass die bislang am Markt erhältlichen digitalen Gesundheit</w:t>
      </w:r>
      <w:r w:rsidRPr="003464A7">
        <w:rPr>
          <w:rFonts w:ascii="Trebuchet MS" w:hAnsi="Trebuchet MS"/>
        </w:rPr>
        <w:t>s</w:t>
      </w:r>
      <w:r w:rsidRPr="003464A7">
        <w:rPr>
          <w:rFonts w:ascii="Trebuchet MS" w:hAnsi="Trebuchet MS"/>
        </w:rPr>
        <w:t>anwendungen für blinde und sehbehinderte Menschen nicht barrierefrei nutzbar sind. Dies wurde zuletzt mit den Erfahrungen zum elektronischen Medikationsplan und den damit in Zusammenhang stehenden weiteren Gesundheitsanwendungen der Apps deu</w:t>
      </w:r>
      <w:r w:rsidRPr="003464A7">
        <w:rPr>
          <w:rFonts w:ascii="Trebuchet MS" w:hAnsi="Trebuchet MS"/>
        </w:rPr>
        <w:t>t</w:t>
      </w:r>
      <w:r w:rsidRPr="003464A7">
        <w:rPr>
          <w:rFonts w:ascii="Trebuchet MS" w:hAnsi="Trebuchet MS"/>
        </w:rPr>
        <w:t>lich. Es ist auch noch kein ausreichendes Bewusstsein und Verständnis auf der Anbiete</w:t>
      </w:r>
      <w:r w:rsidRPr="003464A7">
        <w:rPr>
          <w:rFonts w:ascii="Trebuchet MS" w:hAnsi="Trebuchet MS"/>
        </w:rPr>
        <w:t>r</w:t>
      </w:r>
      <w:r w:rsidRPr="003464A7">
        <w:rPr>
          <w:rFonts w:ascii="Trebuchet MS" w:hAnsi="Trebuchet MS"/>
        </w:rPr>
        <w:t>seite dafür vorhanden, Menschen mit Behinderungen einen ebenso sicheren und daue</w:t>
      </w:r>
      <w:r w:rsidRPr="003464A7">
        <w:rPr>
          <w:rFonts w:ascii="Trebuchet MS" w:hAnsi="Trebuchet MS"/>
        </w:rPr>
        <w:t>r</w:t>
      </w:r>
      <w:r w:rsidRPr="003464A7">
        <w:rPr>
          <w:rFonts w:ascii="Trebuchet MS" w:hAnsi="Trebuchet MS"/>
        </w:rPr>
        <w:t>haft zuverlässigen Zugang zu ihren Angeboten zu ermöglichen, wie sie für Menschen o</w:t>
      </w:r>
      <w:r w:rsidRPr="003464A7">
        <w:rPr>
          <w:rFonts w:ascii="Trebuchet MS" w:hAnsi="Trebuchet MS"/>
        </w:rPr>
        <w:t>h</w:t>
      </w:r>
      <w:r w:rsidRPr="003464A7">
        <w:rPr>
          <w:rFonts w:ascii="Trebuchet MS" w:hAnsi="Trebuchet MS"/>
        </w:rPr>
        <w:t>ne Behinderungen verfügbar sind.</w:t>
      </w:r>
    </w:p>
    <w:p w:rsidR="005B42CD" w:rsidRPr="003464A7" w:rsidRDefault="005B42CD" w:rsidP="003464A7">
      <w:pPr>
        <w:spacing w:line="360" w:lineRule="auto"/>
        <w:rPr>
          <w:rFonts w:ascii="Trebuchet MS" w:hAnsi="Trebuchet MS"/>
        </w:rPr>
      </w:pPr>
    </w:p>
    <w:p w:rsidR="005B42CD" w:rsidRPr="003464A7" w:rsidRDefault="005B42CD" w:rsidP="003464A7">
      <w:pPr>
        <w:spacing w:line="360" w:lineRule="auto"/>
        <w:rPr>
          <w:rFonts w:ascii="Trebuchet MS" w:hAnsi="Trebuchet MS"/>
        </w:rPr>
      </w:pPr>
      <w:r w:rsidRPr="003464A7">
        <w:rPr>
          <w:rFonts w:ascii="Trebuchet MS" w:hAnsi="Trebuchet MS"/>
        </w:rPr>
        <w:t xml:space="preserve">Wenn digitale Gesundheitsanwendungen nicht barrierefrei gestaltet sind, dann bedeutet das, dass sie von Menschen mit Behinderungen nicht genutzt werden können. Daraus </w:t>
      </w:r>
      <w:r w:rsidRPr="003464A7">
        <w:rPr>
          <w:rFonts w:ascii="Trebuchet MS" w:hAnsi="Trebuchet MS"/>
        </w:rPr>
        <w:lastRenderedPageBreak/>
        <w:t>folgt ein Ausschluss von Angeboten, die für alle Versicherten im Rahmen der vertrag</w:t>
      </w:r>
      <w:r w:rsidRPr="003464A7">
        <w:rPr>
          <w:rFonts w:ascii="Trebuchet MS" w:hAnsi="Trebuchet MS"/>
        </w:rPr>
        <w:t>s</w:t>
      </w:r>
      <w:r w:rsidRPr="003464A7">
        <w:rPr>
          <w:rFonts w:ascii="Trebuchet MS" w:hAnsi="Trebuchet MS"/>
        </w:rPr>
        <w:t>ärztlichen Versorgung gesetzlich vorgesehen sind. Das wiederum stellt eine nicht zu rechtfertigende Diskriminierung behinderter Menschen dar und zwar einmal dadurch, dass behinderten Menschen die für die Allgemeinheit angebotenen Gesundheitsleistu</w:t>
      </w:r>
      <w:r w:rsidRPr="003464A7">
        <w:rPr>
          <w:rFonts w:ascii="Trebuchet MS" w:hAnsi="Trebuchet MS"/>
        </w:rPr>
        <w:t>n</w:t>
      </w:r>
      <w:r w:rsidRPr="003464A7">
        <w:rPr>
          <w:rFonts w:ascii="Trebuchet MS" w:hAnsi="Trebuchet MS"/>
        </w:rPr>
        <w:t>gen gar nicht zur Verfügung stehen und andererseits dadurch, dass diese unzugänglichen Leistungen mit Versicherungsbeiträgen finanziert werden, für die auch behinderte Me</w:t>
      </w:r>
      <w:r w:rsidRPr="003464A7">
        <w:rPr>
          <w:rFonts w:ascii="Trebuchet MS" w:hAnsi="Trebuchet MS"/>
        </w:rPr>
        <w:t>n</w:t>
      </w:r>
      <w:r w:rsidRPr="003464A7">
        <w:rPr>
          <w:rFonts w:ascii="Trebuchet MS" w:hAnsi="Trebuchet MS"/>
        </w:rPr>
        <w:t xml:space="preserve">schen uneingeschränkt aufkommen. </w:t>
      </w:r>
    </w:p>
    <w:p w:rsidR="005B42CD" w:rsidRPr="003464A7" w:rsidRDefault="005B42CD" w:rsidP="003464A7">
      <w:pPr>
        <w:spacing w:line="360" w:lineRule="auto"/>
        <w:rPr>
          <w:rFonts w:ascii="Trebuchet MS" w:hAnsi="Trebuchet MS"/>
        </w:rPr>
      </w:pPr>
    </w:p>
    <w:p w:rsidR="005B42CD" w:rsidRPr="003464A7" w:rsidRDefault="005B42CD" w:rsidP="003464A7">
      <w:pPr>
        <w:spacing w:line="360" w:lineRule="auto"/>
        <w:rPr>
          <w:rFonts w:ascii="Trebuchet MS" w:hAnsi="Trebuchet MS"/>
        </w:rPr>
      </w:pPr>
      <w:r w:rsidRPr="003464A7">
        <w:rPr>
          <w:rFonts w:ascii="Trebuchet MS" w:hAnsi="Trebuchet MS"/>
        </w:rPr>
        <w:t>Ein faktischer Ausschluss von Gesundheitsleistungen aufgrund bestehender Barrieren ist auch nicht mit dem Recht auf Zugänglichkeit und eine gleichberechtigte Gesundheitsve</w:t>
      </w:r>
      <w:r w:rsidRPr="003464A7">
        <w:rPr>
          <w:rFonts w:ascii="Trebuchet MS" w:hAnsi="Trebuchet MS"/>
        </w:rPr>
        <w:t>r</w:t>
      </w:r>
      <w:r w:rsidRPr="003464A7">
        <w:rPr>
          <w:rFonts w:ascii="Trebuchet MS" w:hAnsi="Trebuchet MS"/>
        </w:rPr>
        <w:t>sorgung im Sinne der UN-Behindertenrechtskonvention vereinbar. In Artikel 25 UN-BRK heißt es ausdrücklich: „insbesondere stellen die Vertragsparteien Menschen mit Behind</w:t>
      </w:r>
      <w:r w:rsidRPr="003464A7">
        <w:rPr>
          <w:rFonts w:ascii="Trebuchet MS" w:hAnsi="Trebuchet MS"/>
        </w:rPr>
        <w:t>e</w:t>
      </w:r>
      <w:r w:rsidRPr="003464A7">
        <w:rPr>
          <w:rFonts w:ascii="Trebuchet MS" w:hAnsi="Trebuchet MS"/>
        </w:rPr>
        <w:t>rungen eine unentgeltliche oder erschwingliche Gesundheitsversorgung in derselben Bandbreite, von derselben Qualität und auf demselben Standard zur Verfügung wie a</w:t>
      </w:r>
      <w:r w:rsidRPr="003464A7">
        <w:rPr>
          <w:rFonts w:ascii="Trebuchet MS" w:hAnsi="Trebuchet MS"/>
        </w:rPr>
        <w:t>n</w:t>
      </w:r>
      <w:r w:rsidRPr="003464A7">
        <w:rPr>
          <w:rFonts w:ascii="Trebuchet MS" w:hAnsi="Trebuchet MS"/>
        </w:rPr>
        <w:t>deren Menschen</w:t>
      </w:r>
      <w:proofErr w:type="gramStart"/>
      <w:r w:rsidRPr="003464A7">
        <w:rPr>
          <w:rFonts w:ascii="Trebuchet MS" w:hAnsi="Trebuchet MS"/>
        </w:rPr>
        <w:t>,“</w:t>
      </w:r>
      <w:proofErr w:type="gramEnd"/>
      <w:r w:rsidRPr="003464A7">
        <w:rPr>
          <w:rFonts w:ascii="Trebuchet MS" w:hAnsi="Trebuchet MS"/>
        </w:rPr>
        <w:t xml:space="preserve"> und weiter: „verbieten die Vertragsstaaten die Diskriminierung von Menschen mit Behinderungen in der Krankenversicherung“.</w:t>
      </w:r>
    </w:p>
    <w:p w:rsidR="00DE6DF2" w:rsidRDefault="00DE6DF2" w:rsidP="003464A7">
      <w:pPr>
        <w:spacing w:line="360" w:lineRule="auto"/>
        <w:rPr>
          <w:rFonts w:ascii="Trebuchet MS" w:hAnsi="Trebuchet MS"/>
        </w:rPr>
      </w:pPr>
    </w:p>
    <w:p w:rsidR="005B42CD" w:rsidRPr="003464A7" w:rsidRDefault="005B42CD" w:rsidP="003464A7">
      <w:pPr>
        <w:spacing w:line="360" w:lineRule="auto"/>
        <w:rPr>
          <w:rFonts w:ascii="Trebuchet MS" w:hAnsi="Trebuchet MS"/>
        </w:rPr>
      </w:pPr>
      <w:r w:rsidRPr="003464A7">
        <w:rPr>
          <w:rFonts w:ascii="Trebuchet MS" w:hAnsi="Trebuchet MS"/>
        </w:rPr>
        <w:t>Die Sicherstellung von barrierefreien digitalen Gesundheitsleistungen und /-anwendungen ist aber nicht nur wegen der aktuell geplanten digitalen Anwendungen mit niedriger Risikoklasse in den Blick zu nehmen. Vielmehr ist, wie aus der Begründung des Referentenentwurfs deutlich wird, davon auszugehen, dass digitale Gesundheitsanwe</w:t>
      </w:r>
      <w:r w:rsidRPr="003464A7">
        <w:rPr>
          <w:rFonts w:ascii="Trebuchet MS" w:hAnsi="Trebuchet MS"/>
        </w:rPr>
        <w:t>n</w:t>
      </w:r>
      <w:r w:rsidRPr="003464A7">
        <w:rPr>
          <w:rFonts w:ascii="Trebuchet MS" w:hAnsi="Trebuchet MS"/>
        </w:rPr>
        <w:t>dungen bei der Prävention, der kurativen Versorgung und der Rehabilitation zunehmend an Bedeutung gewinnen werden. Wird nicht sichergestellt, dass derartige, durch die Ve</w:t>
      </w:r>
      <w:r w:rsidRPr="003464A7">
        <w:rPr>
          <w:rFonts w:ascii="Trebuchet MS" w:hAnsi="Trebuchet MS"/>
        </w:rPr>
        <w:t>r</w:t>
      </w:r>
      <w:r w:rsidRPr="003464A7">
        <w:rPr>
          <w:rFonts w:ascii="Trebuchet MS" w:hAnsi="Trebuchet MS"/>
        </w:rPr>
        <w:t>sichertengemeinschaft finanzierte Anwendungen für alle Menschen zugänglich sind, dann droht, dass behinderte Menschen dauerhaft auch von zwingend notwendigen Gesun</w:t>
      </w:r>
      <w:r w:rsidRPr="003464A7">
        <w:rPr>
          <w:rFonts w:ascii="Trebuchet MS" w:hAnsi="Trebuchet MS"/>
        </w:rPr>
        <w:t>d</w:t>
      </w:r>
      <w:r w:rsidRPr="003464A7">
        <w:rPr>
          <w:rFonts w:ascii="Trebuchet MS" w:hAnsi="Trebuchet MS"/>
        </w:rPr>
        <w:t>heitsleistungen ausgeschlossen werden. Die Fehler, die bei der baulichen Zugänglichkeit zu Arztpraxen und Therapeuten in der Vergangenheit gemacht wurden, dürfen sich im digitalen Zeitalter nicht wiederholen. Dafür ist durch staatliche Steuerung zu sorgen.</w:t>
      </w:r>
    </w:p>
    <w:p w:rsidR="005B42CD" w:rsidRPr="003464A7" w:rsidRDefault="005B42CD" w:rsidP="003464A7">
      <w:pPr>
        <w:spacing w:line="360" w:lineRule="auto"/>
        <w:rPr>
          <w:rFonts w:ascii="Trebuchet MS" w:hAnsi="Trebuchet MS"/>
        </w:rPr>
      </w:pPr>
    </w:p>
    <w:p w:rsidR="005B42CD" w:rsidRPr="003464A7" w:rsidRDefault="005B42CD" w:rsidP="003464A7">
      <w:pPr>
        <w:spacing w:line="360" w:lineRule="auto"/>
        <w:rPr>
          <w:rFonts w:ascii="Trebuchet MS" w:hAnsi="Trebuchet MS"/>
        </w:rPr>
      </w:pPr>
      <w:r w:rsidRPr="003464A7">
        <w:rPr>
          <w:rFonts w:ascii="Trebuchet MS" w:hAnsi="Trebuchet MS"/>
        </w:rPr>
        <w:t>Nach alledem sind klare Vorgaben zur Barrierefreiheit von digitalen Gesundheitsanwe</w:t>
      </w:r>
      <w:r w:rsidRPr="003464A7">
        <w:rPr>
          <w:rFonts w:ascii="Trebuchet MS" w:hAnsi="Trebuchet MS"/>
        </w:rPr>
        <w:t>n</w:t>
      </w:r>
      <w:r w:rsidRPr="003464A7">
        <w:rPr>
          <w:rFonts w:ascii="Trebuchet MS" w:hAnsi="Trebuchet MS"/>
        </w:rPr>
        <w:t>dungen erforderlich.</w:t>
      </w:r>
    </w:p>
    <w:p w:rsidR="005B42CD" w:rsidRPr="003464A7" w:rsidRDefault="005B42CD" w:rsidP="003464A7">
      <w:pPr>
        <w:spacing w:line="360" w:lineRule="auto"/>
        <w:rPr>
          <w:rFonts w:ascii="Trebuchet MS" w:hAnsi="Trebuchet MS"/>
        </w:rPr>
      </w:pPr>
    </w:p>
    <w:p w:rsidR="005B42CD" w:rsidRPr="003464A7" w:rsidRDefault="005B42CD" w:rsidP="003464A7">
      <w:pPr>
        <w:spacing w:line="360" w:lineRule="auto"/>
        <w:rPr>
          <w:rFonts w:ascii="Trebuchet MS" w:hAnsi="Trebuchet MS"/>
        </w:rPr>
      </w:pPr>
      <w:r w:rsidRPr="003464A7">
        <w:rPr>
          <w:rFonts w:ascii="Trebuchet MS" w:hAnsi="Trebuchet MS"/>
        </w:rPr>
        <w:t>Vor</w:t>
      </w:r>
      <w:r w:rsidR="00D33E2F">
        <w:rPr>
          <w:rFonts w:ascii="Trebuchet MS" w:hAnsi="Trebuchet MS"/>
        </w:rPr>
        <w:t xml:space="preserve"> diesem Hintergrund schlägt die BAG SELBSTHILFE</w:t>
      </w:r>
      <w:r w:rsidRPr="003464A7">
        <w:rPr>
          <w:rFonts w:ascii="Trebuchet MS" w:hAnsi="Trebuchet MS"/>
        </w:rPr>
        <w:t xml:space="preserve"> vor, § 139e Abs. 2 Satz 1 SGB V_E wie folgt neu zu fassen:</w:t>
      </w:r>
    </w:p>
    <w:p w:rsidR="005B42CD" w:rsidRPr="003464A7" w:rsidRDefault="005B42CD" w:rsidP="003464A7">
      <w:pPr>
        <w:spacing w:line="360" w:lineRule="auto"/>
        <w:rPr>
          <w:rFonts w:ascii="Trebuchet MS" w:hAnsi="Trebuchet MS"/>
        </w:rPr>
      </w:pPr>
      <w:r w:rsidRPr="003464A7">
        <w:rPr>
          <w:rFonts w:ascii="Trebuchet MS" w:hAnsi="Trebuchet MS"/>
        </w:rPr>
        <w:lastRenderedPageBreak/>
        <w:t>„(2) Die Aufnahme in das Verzeichnis der digitalen Gesundheitsanwendungen erfolgt auf elektronischen Antrag des Herstellers beim Bundesinstitut für Arzneimittel und Medizi</w:t>
      </w:r>
      <w:r w:rsidRPr="003464A7">
        <w:rPr>
          <w:rFonts w:ascii="Trebuchet MS" w:hAnsi="Trebuchet MS"/>
        </w:rPr>
        <w:t>n</w:t>
      </w:r>
      <w:r w:rsidRPr="003464A7">
        <w:rPr>
          <w:rFonts w:ascii="Trebuchet MS" w:hAnsi="Trebuchet MS"/>
        </w:rPr>
        <w:t>produkte, sofern die Erfüllung der Grundanforderungen an Sicherheit, Funktionstauglic</w:t>
      </w:r>
      <w:r w:rsidRPr="003464A7">
        <w:rPr>
          <w:rFonts w:ascii="Trebuchet MS" w:hAnsi="Trebuchet MS"/>
        </w:rPr>
        <w:t>h</w:t>
      </w:r>
      <w:r w:rsidRPr="003464A7">
        <w:rPr>
          <w:rFonts w:ascii="Trebuchet MS" w:hAnsi="Trebuchet MS"/>
        </w:rPr>
        <w:t>keit, der Zugänglichkeit für Menschen mit Behinderungen und Qualität der digitalen G</w:t>
      </w:r>
      <w:r w:rsidRPr="003464A7">
        <w:rPr>
          <w:rFonts w:ascii="Trebuchet MS" w:hAnsi="Trebuchet MS"/>
        </w:rPr>
        <w:t>e</w:t>
      </w:r>
      <w:r w:rsidRPr="003464A7">
        <w:rPr>
          <w:rFonts w:ascii="Trebuchet MS" w:hAnsi="Trebuchet MS"/>
        </w:rPr>
        <w:t>sundheitsanwendung sowie deren positive Versorgungseffekte nachgewiesen sind.“</w:t>
      </w:r>
    </w:p>
    <w:p w:rsidR="00DE6DF2" w:rsidRDefault="00DE6DF2" w:rsidP="003464A7">
      <w:pPr>
        <w:spacing w:line="360" w:lineRule="auto"/>
        <w:rPr>
          <w:rFonts w:ascii="Trebuchet MS" w:hAnsi="Trebuchet MS"/>
        </w:rPr>
      </w:pPr>
    </w:p>
    <w:p w:rsidR="005B42CD" w:rsidRPr="003464A7" w:rsidRDefault="005B42CD" w:rsidP="003464A7">
      <w:pPr>
        <w:spacing w:line="360" w:lineRule="auto"/>
        <w:rPr>
          <w:rFonts w:ascii="Trebuchet MS" w:hAnsi="Trebuchet MS"/>
        </w:rPr>
      </w:pPr>
      <w:r w:rsidRPr="003464A7">
        <w:rPr>
          <w:rFonts w:ascii="Trebuchet MS" w:hAnsi="Trebuchet MS"/>
        </w:rPr>
        <w:t>Hinsichtlich der einzuhaltenden Standards kann auf die Anforderungen in der Barrier</w:t>
      </w:r>
      <w:r w:rsidRPr="003464A7">
        <w:rPr>
          <w:rFonts w:ascii="Trebuchet MS" w:hAnsi="Trebuchet MS"/>
        </w:rPr>
        <w:t>e</w:t>
      </w:r>
      <w:r w:rsidRPr="003464A7">
        <w:rPr>
          <w:rFonts w:ascii="Trebuchet MS" w:hAnsi="Trebuchet MS"/>
        </w:rPr>
        <w:t>freie Informationstechnik Verordnung (BITV) verwiesen werden.</w:t>
      </w:r>
    </w:p>
    <w:p w:rsidR="005B42CD" w:rsidRPr="003464A7" w:rsidRDefault="005B42CD" w:rsidP="003464A7">
      <w:pPr>
        <w:spacing w:line="360" w:lineRule="auto"/>
        <w:rPr>
          <w:rFonts w:ascii="Trebuchet MS" w:hAnsi="Trebuchet MS"/>
        </w:rPr>
      </w:pPr>
    </w:p>
    <w:p w:rsidR="0002245C" w:rsidRDefault="005B42CD" w:rsidP="005B42CD">
      <w:pPr>
        <w:pStyle w:val="Listenabsatz"/>
        <w:numPr>
          <w:ilvl w:val="0"/>
          <w:numId w:val="13"/>
        </w:numPr>
        <w:rPr>
          <w:rFonts w:ascii="Trebuchet MS" w:hAnsi="Trebuchet MS"/>
          <w:b/>
        </w:rPr>
      </w:pPr>
      <w:r w:rsidRPr="0002245C">
        <w:rPr>
          <w:rFonts w:ascii="Trebuchet MS" w:hAnsi="Trebuchet MS"/>
          <w:b/>
        </w:rPr>
        <w:t>Patientenbeteiligung bei der Bewertung und der Erstellung des Verzeichnisses (§ 139e SGB V)</w:t>
      </w:r>
    </w:p>
    <w:p w:rsidR="008A431E" w:rsidRDefault="008A431E" w:rsidP="008A431E">
      <w:pPr>
        <w:spacing w:line="360" w:lineRule="auto"/>
        <w:rPr>
          <w:rFonts w:ascii="Trebuchet MS" w:hAnsi="Trebuchet MS"/>
        </w:rPr>
      </w:pPr>
    </w:p>
    <w:p w:rsidR="005B42CD" w:rsidRPr="008A431E" w:rsidRDefault="0002245C" w:rsidP="008A431E">
      <w:pPr>
        <w:spacing w:line="360" w:lineRule="auto"/>
        <w:rPr>
          <w:rFonts w:ascii="Trebuchet MS" w:hAnsi="Trebuchet MS"/>
        </w:rPr>
      </w:pPr>
      <w:r w:rsidRPr="008A431E">
        <w:rPr>
          <w:rFonts w:ascii="Trebuchet MS" w:hAnsi="Trebuchet MS"/>
        </w:rPr>
        <w:t xml:space="preserve">Wie bereits dargestellt, erachtet die BAG SELBSTHILFE </w:t>
      </w:r>
      <w:r w:rsidR="005B42CD" w:rsidRPr="008A431E">
        <w:rPr>
          <w:rFonts w:ascii="Trebuchet MS" w:hAnsi="Trebuchet MS"/>
        </w:rPr>
        <w:t>es in d</w:t>
      </w:r>
      <w:r w:rsidR="005B2225" w:rsidRPr="008A431E">
        <w:rPr>
          <w:rFonts w:ascii="Trebuchet MS" w:hAnsi="Trebuchet MS"/>
        </w:rPr>
        <w:t xml:space="preserve">iesem Zusammenhang für </w:t>
      </w:r>
      <w:r w:rsidR="005B42CD" w:rsidRPr="008A431E">
        <w:rPr>
          <w:rFonts w:ascii="Trebuchet MS" w:hAnsi="Trebuchet MS"/>
        </w:rPr>
        <w:t>notwendig, dass die zur Wahrnehmung der Interessen der Patientinnen und Patienten und der Selbsthilfe chronisch kranker und behinderter Menschen maßgeblichen Organis</w:t>
      </w:r>
      <w:r w:rsidR="005B42CD" w:rsidRPr="008A431E">
        <w:rPr>
          <w:rFonts w:ascii="Trebuchet MS" w:hAnsi="Trebuchet MS"/>
        </w:rPr>
        <w:t>a</w:t>
      </w:r>
      <w:r w:rsidR="005B42CD" w:rsidRPr="008A431E">
        <w:rPr>
          <w:rFonts w:ascii="Trebuchet MS" w:hAnsi="Trebuchet MS"/>
        </w:rPr>
        <w:t>tionen bei En</w:t>
      </w:r>
      <w:r w:rsidR="005B2225" w:rsidRPr="008A431E">
        <w:rPr>
          <w:rFonts w:ascii="Trebuchet MS" w:hAnsi="Trebuchet MS"/>
        </w:rPr>
        <w:t>tscheidungen nach § 139e SGB V</w:t>
      </w:r>
      <w:r w:rsidR="005B42CD" w:rsidRPr="008A431E">
        <w:rPr>
          <w:rFonts w:ascii="Trebuchet MS" w:hAnsi="Trebuchet MS"/>
        </w:rPr>
        <w:t xml:space="preserve"> angemessen beteiligt wer</w:t>
      </w:r>
      <w:r w:rsidR="005B2225" w:rsidRPr="008A431E">
        <w:rPr>
          <w:rFonts w:ascii="Trebuchet MS" w:hAnsi="Trebuchet MS"/>
        </w:rPr>
        <w:t>den und ein A</w:t>
      </w:r>
      <w:r w:rsidR="005B2225" w:rsidRPr="008A431E">
        <w:rPr>
          <w:rFonts w:ascii="Trebuchet MS" w:hAnsi="Trebuchet MS"/>
        </w:rPr>
        <w:t>n</w:t>
      </w:r>
      <w:r w:rsidR="005B2225" w:rsidRPr="008A431E">
        <w:rPr>
          <w:rFonts w:ascii="Trebuchet MS" w:hAnsi="Trebuchet MS"/>
        </w:rPr>
        <w:t>tragsrecht auf Aufnahme/ Streichung einer Anwendung erhalten.</w:t>
      </w:r>
      <w:r w:rsidR="005B42CD" w:rsidRPr="008A431E">
        <w:rPr>
          <w:rFonts w:ascii="Trebuchet MS" w:hAnsi="Trebuchet MS"/>
        </w:rPr>
        <w:t xml:space="preserve"> </w:t>
      </w:r>
      <w:r w:rsidRPr="008A431E">
        <w:rPr>
          <w:rFonts w:ascii="Trebuchet MS" w:hAnsi="Trebuchet MS"/>
        </w:rPr>
        <w:t>Überdies sollten die Patienten aber auch bei den Verfahren zur Zustimmung der Krankenkassen (ohne Ve</w:t>
      </w:r>
      <w:r w:rsidRPr="008A431E">
        <w:rPr>
          <w:rFonts w:ascii="Trebuchet MS" w:hAnsi="Trebuchet MS"/>
        </w:rPr>
        <w:t>r</w:t>
      </w:r>
      <w:r w:rsidRPr="008A431E">
        <w:rPr>
          <w:rFonts w:ascii="Trebuchet MS" w:hAnsi="Trebuchet MS"/>
        </w:rPr>
        <w:t>ordnung des Arztes) beteiligt werden, da hier auch das Risiko gesehen wird, dass i</w:t>
      </w:r>
      <w:r w:rsidRPr="008A431E">
        <w:rPr>
          <w:rFonts w:ascii="Trebuchet MS" w:hAnsi="Trebuchet MS"/>
        </w:rPr>
        <w:t>n</w:t>
      </w:r>
      <w:r w:rsidRPr="008A431E">
        <w:rPr>
          <w:rFonts w:ascii="Trebuchet MS" w:hAnsi="Trebuchet MS"/>
        </w:rPr>
        <w:t xml:space="preserve">transparente Standards und Kriterien verwendet werden, die eher der Interessenlage der Einzelkasse an neuen Mitgliedern entspricht. </w:t>
      </w:r>
      <w:r w:rsidR="005B42CD" w:rsidRPr="008A431E">
        <w:rPr>
          <w:rFonts w:ascii="Trebuchet MS" w:hAnsi="Trebuchet MS"/>
        </w:rPr>
        <w:t xml:space="preserve">Die maßgeblichen gesetzlichen </w:t>
      </w:r>
      <w:r w:rsidR="00DE6DF2">
        <w:rPr>
          <w:rFonts w:ascii="Trebuchet MS" w:hAnsi="Trebuchet MS"/>
        </w:rPr>
        <w:t xml:space="preserve">Regelungen in § 140f SGB V wären </w:t>
      </w:r>
      <w:r w:rsidR="005B42CD" w:rsidRPr="008A431E">
        <w:rPr>
          <w:rFonts w:ascii="Trebuchet MS" w:hAnsi="Trebuchet MS"/>
        </w:rPr>
        <w:t>insofern zu ergänzen.</w:t>
      </w:r>
    </w:p>
    <w:p w:rsidR="005B42CD" w:rsidRDefault="005B42CD" w:rsidP="005B42CD"/>
    <w:p w:rsidR="00685996" w:rsidRPr="00C5715D" w:rsidRDefault="00685996" w:rsidP="00C5715D">
      <w:pPr>
        <w:tabs>
          <w:tab w:val="left" w:pos="567"/>
        </w:tabs>
        <w:spacing w:line="360" w:lineRule="auto"/>
        <w:rPr>
          <w:rFonts w:ascii="Trebuchet MS" w:hAnsi="Trebuchet MS"/>
        </w:rPr>
      </w:pPr>
    </w:p>
    <w:p w:rsidR="00685996" w:rsidRPr="008A431E" w:rsidRDefault="005B42CD" w:rsidP="00C5715D">
      <w:pPr>
        <w:tabs>
          <w:tab w:val="left" w:pos="567"/>
        </w:tabs>
        <w:spacing w:line="360" w:lineRule="auto"/>
        <w:rPr>
          <w:rFonts w:ascii="Trebuchet MS" w:hAnsi="Trebuchet MS"/>
          <w:b/>
        </w:rPr>
      </w:pPr>
      <w:r w:rsidRPr="008A431E">
        <w:rPr>
          <w:rFonts w:ascii="Trebuchet MS" w:hAnsi="Trebuchet MS"/>
          <w:b/>
        </w:rPr>
        <w:t>3. Förderung der Entwicklung digitaler Anwendungen durch die Krankenkassen (§ 68a</w:t>
      </w:r>
      <w:r w:rsidR="005B2225" w:rsidRPr="008A431E">
        <w:rPr>
          <w:rFonts w:ascii="Trebuchet MS" w:hAnsi="Trebuchet MS"/>
          <w:b/>
        </w:rPr>
        <w:t>, 263</w:t>
      </w:r>
      <w:r w:rsidRPr="008A431E">
        <w:rPr>
          <w:rFonts w:ascii="Trebuchet MS" w:hAnsi="Trebuchet MS"/>
          <w:b/>
        </w:rPr>
        <w:t xml:space="preserve"> SGB V)</w:t>
      </w:r>
    </w:p>
    <w:p w:rsidR="008A431E" w:rsidRDefault="008A431E" w:rsidP="0002245C">
      <w:pPr>
        <w:spacing w:line="360" w:lineRule="auto"/>
        <w:rPr>
          <w:rFonts w:ascii="Trebuchet MS" w:hAnsi="Trebuchet MS"/>
        </w:rPr>
      </w:pPr>
    </w:p>
    <w:p w:rsidR="000B79C6" w:rsidRPr="0002245C" w:rsidRDefault="005B42CD" w:rsidP="0002245C">
      <w:pPr>
        <w:spacing w:line="360" w:lineRule="auto"/>
        <w:rPr>
          <w:rFonts w:ascii="Trebuchet MS" w:hAnsi="Trebuchet MS"/>
        </w:rPr>
      </w:pPr>
      <w:r w:rsidRPr="0002245C">
        <w:rPr>
          <w:rFonts w:ascii="Trebuchet MS" w:hAnsi="Trebuchet MS"/>
        </w:rPr>
        <w:t>Die BAG S</w:t>
      </w:r>
      <w:r w:rsidR="0002245C" w:rsidRPr="0002245C">
        <w:rPr>
          <w:rFonts w:ascii="Trebuchet MS" w:hAnsi="Trebuchet MS"/>
        </w:rPr>
        <w:t>ELBSTHILFE hält die vorgesehene Regelung für schwierig</w:t>
      </w:r>
      <w:r w:rsidRPr="0002245C">
        <w:rPr>
          <w:rFonts w:ascii="Trebuchet MS" w:hAnsi="Trebuchet MS"/>
        </w:rPr>
        <w:t>. Es steht zu befürc</w:t>
      </w:r>
      <w:r w:rsidRPr="0002245C">
        <w:rPr>
          <w:rFonts w:ascii="Trebuchet MS" w:hAnsi="Trebuchet MS"/>
        </w:rPr>
        <w:t>h</w:t>
      </w:r>
      <w:r w:rsidRPr="0002245C">
        <w:rPr>
          <w:rFonts w:ascii="Trebuchet MS" w:hAnsi="Trebuchet MS"/>
        </w:rPr>
        <w:t xml:space="preserve">ten, dass diese Möglichkeit </w:t>
      </w:r>
      <w:r w:rsidR="0002245C" w:rsidRPr="0002245C">
        <w:rPr>
          <w:rFonts w:ascii="Trebuchet MS" w:hAnsi="Trebuchet MS"/>
        </w:rPr>
        <w:t xml:space="preserve">der Förderung digitaler Anwendungen </w:t>
      </w:r>
      <w:r w:rsidRPr="0002245C">
        <w:rPr>
          <w:rFonts w:ascii="Trebuchet MS" w:hAnsi="Trebuchet MS"/>
        </w:rPr>
        <w:t xml:space="preserve">den Kassenwettbewerb dahingehend verschärft, dass es eine Vielzahl von attraktiven digitalen Angeboten gibt, deren Nutzen völlig unklar ist, </w:t>
      </w:r>
      <w:r w:rsidR="008A431E">
        <w:rPr>
          <w:rFonts w:ascii="Trebuchet MS" w:hAnsi="Trebuchet MS"/>
        </w:rPr>
        <w:t xml:space="preserve">die aber </w:t>
      </w:r>
      <w:r w:rsidRPr="0002245C">
        <w:rPr>
          <w:rFonts w:ascii="Trebuchet MS" w:hAnsi="Trebuchet MS"/>
        </w:rPr>
        <w:t>die gewünschten Versicherten anziehen. Aus der Sicht der BAG SELBSTHILFE müssen Versorgungen mit digitalen Anwendungen</w:t>
      </w:r>
      <w:r w:rsidR="005B2225" w:rsidRPr="0002245C">
        <w:rPr>
          <w:rFonts w:ascii="Trebuchet MS" w:hAnsi="Trebuchet MS"/>
        </w:rPr>
        <w:t xml:space="preserve"> hingegen</w:t>
      </w:r>
      <w:r w:rsidRPr="0002245C">
        <w:rPr>
          <w:rFonts w:ascii="Trebuchet MS" w:hAnsi="Trebuchet MS"/>
        </w:rPr>
        <w:t xml:space="preserve"> zeigen, dass sie einen echten Zusatznutzen erbrin</w:t>
      </w:r>
      <w:r w:rsidR="005B2225" w:rsidRPr="0002245C">
        <w:rPr>
          <w:rFonts w:ascii="Trebuchet MS" w:hAnsi="Trebuchet MS"/>
        </w:rPr>
        <w:t>gen; n</w:t>
      </w:r>
      <w:r w:rsidRPr="0002245C">
        <w:rPr>
          <w:rFonts w:ascii="Trebuchet MS" w:hAnsi="Trebuchet MS"/>
        </w:rPr>
        <w:t xml:space="preserve">ach positiver Evaluation sollten sie in die Regelversorgung aufgenommen werden. </w:t>
      </w:r>
      <w:r w:rsidR="000B79C6" w:rsidRPr="0002245C">
        <w:rPr>
          <w:rFonts w:ascii="Trebuchet MS" w:hAnsi="Trebuchet MS"/>
        </w:rPr>
        <w:t>Nur so kann ein Qualitätswettbewerb und Transparenz für die Versicherten geschaffen werden.</w:t>
      </w:r>
      <w:r w:rsidRPr="0002245C">
        <w:rPr>
          <w:rFonts w:ascii="Trebuchet MS" w:hAnsi="Trebuchet MS"/>
        </w:rPr>
        <w:t xml:space="preserve"> </w:t>
      </w:r>
    </w:p>
    <w:p w:rsidR="000B79C6" w:rsidRPr="0002245C" w:rsidRDefault="00147110" w:rsidP="003464A7">
      <w:pPr>
        <w:pStyle w:val="Listenabsatz"/>
        <w:numPr>
          <w:ilvl w:val="0"/>
          <w:numId w:val="13"/>
        </w:numPr>
        <w:rPr>
          <w:rFonts w:ascii="Trebuchet MS" w:hAnsi="Trebuchet MS"/>
          <w:b/>
          <w:bCs/>
        </w:rPr>
      </w:pPr>
      <w:r w:rsidRPr="0002245C">
        <w:rPr>
          <w:rFonts w:ascii="Trebuchet MS" w:hAnsi="Trebuchet MS"/>
          <w:b/>
          <w:bCs/>
        </w:rPr>
        <w:lastRenderedPageBreak/>
        <w:t>Beratung im</w:t>
      </w:r>
      <w:r w:rsidR="00025CFA">
        <w:rPr>
          <w:rFonts w:ascii="Trebuchet MS" w:hAnsi="Trebuchet MS"/>
          <w:b/>
          <w:bCs/>
        </w:rPr>
        <w:t xml:space="preserve"> Hinblick auf digitale Angebote</w:t>
      </w:r>
      <w:r w:rsidRPr="0002245C">
        <w:rPr>
          <w:rFonts w:ascii="Trebuchet MS" w:hAnsi="Trebuchet MS"/>
          <w:b/>
          <w:bCs/>
        </w:rPr>
        <w:t xml:space="preserve"> (§ 68b </w:t>
      </w:r>
      <w:r w:rsidR="00D33E2F">
        <w:rPr>
          <w:rFonts w:ascii="Trebuchet MS" w:hAnsi="Trebuchet MS"/>
          <w:b/>
          <w:bCs/>
        </w:rPr>
        <w:t xml:space="preserve">S. 3 </w:t>
      </w:r>
      <w:r w:rsidRPr="0002245C">
        <w:rPr>
          <w:rFonts w:ascii="Trebuchet MS" w:hAnsi="Trebuchet MS"/>
          <w:b/>
          <w:bCs/>
        </w:rPr>
        <w:t>SGB V)</w:t>
      </w:r>
    </w:p>
    <w:p w:rsidR="00147110" w:rsidRPr="00147110" w:rsidRDefault="00147110" w:rsidP="00147110">
      <w:pPr>
        <w:pStyle w:val="Listenabsatz"/>
        <w:rPr>
          <w:b/>
          <w:bCs/>
        </w:rPr>
      </w:pPr>
    </w:p>
    <w:p w:rsidR="000B79C6" w:rsidRPr="0002245C" w:rsidRDefault="00D33E2F" w:rsidP="0002245C">
      <w:pPr>
        <w:spacing w:line="360" w:lineRule="auto"/>
        <w:rPr>
          <w:rFonts w:ascii="Trebuchet MS" w:hAnsi="Trebuchet MS"/>
        </w:rPr>
      </w:pPr>
      <w:r>
        <w:rPr>
          <w:rFonts w:ascii="Trebuchet MS" w:hAnsi="Trebuchet MS"/>
        </w:rPr>
        <w:t>Zwar hält die BAG SELBSTHILFE eine Beratung im Hinblick auf digitale Angebote für dri</w:t>
      </w:r>
      <w:r>
        <w:rPr>
          <w:rFonts w:ascii="Trebuchet MS" w:hAnsi="Trebuchet MS"/>
        </w:rPr>
        <w:t>n</w:t>
      </w:r>
      <w:r>
        <w:rPr>
          <w:rFonts w:ascii="Trebuchet MS" w:hAnsi="Trebuchet MS"/>
        </w:rPr>
        <w:t xml:space="preserve">gend erforderlich. </w:t>
      </w:r>
      <w:r w:rsidR="000B79C6" w:rsidRPr="0002245C">
        <w:rPr>
          <w:rFonts w:ascii="Trebuchet MS" w:hAnsi="Trebuchet MS"/>
        </w:rPr>
        <w:t>Anstelle einer interessengeleiteten Berat</w:t>
      </w:r>
      <w:r w:rsidR="00147110" w:rsidRPr="0002245C">
        <w:rPr>
          <w:rFonts w:ascii="Trebuchet MS" w:hAnsi="Trebuchet MS"/>
        </w:rPr>
        <w:t xml:space="preserve">ung durch Krankenkassen ist es aus der Sicht der BAG SELBSTHILFE </w:t>
      </w:r>
      <w:r>
        <w:rPr>
          <w:rFonts w:ascii="Trebuchet MS" w:hAnsi="Trebuchet MS"/>
        </w:rPr>
        <w:t xml:space="preserve">allerdings </w:t>
      </w:r>
      <w:r w:rsidR="00147110" w:rsidRPr="0002245C">
        <w:rPr>
          <w:rFonts w:ascii="Trebuchet MS" w:hAnsi="Trebuchet MS"/>
        </w:rPr>
        <w:t>notwen</w:t>
      </w:r>
      <w:r>
        <w:rPr>
          <w:rFonts w:ascii="Trebuchet MS" w:hAnsi="Trebuchet MS"/>
        </w:rPr>
        <w:t xml:space="preserve">dig, </w:t>
      </w:r>
      <w:r w:rsidR="000B79C6" w:rsidRPr="0002245C">
        <w:rPr>
          <w:rFonts w:ascii="Trebuchet MS" w:hAnsi="Trebuchet MS"/>
        </w:rPr>
        <w:t>eine wirklich unabhängi</w:t>
      </w:r>
      <w:r w:rsidR="00147110" w:rsidRPr="0002245C">
        <w:rPr>
          <w:rFonts w:ascii="Trebuchet MS" w:hAnsi="Trebuchet MS"/>
        </w:rPr>
        <w:t>ge Patientenberatung</w:t>
      </w:r>
      <w:r w:rsidR="000B79C6" w:rsidRPr="0002245C">
        <w:rPr>
          <w:rFonts w:ascii="Trebuchet MS" w:hAnsi="Trebuchet MS"/>
        </w:rPr>
        <w:t xml:space="preserve"> auch im Hinblick auf digitale Anwendungen</w:t>
      </w:r>
      <w:r w:rsidR="00147110" w:rsidRPr="0002245C">
        <w:rPr>
          <w:rFonts w:ascii="Trebuchet MS" w:hAnsi="Trebuchet MS"/>
        </w:rPr>
        <w:t xml:space="preserve"> zu errichten. § 65b SGB V sollte</w:t>
      </w:r>
      <w:r w:rsidR="000B79C6" w:rsidRPr="0002245C">
        <w:rPr>
          <w:rFonts w:ascii="Trebuchet MS" w:hAnsi="Trebuchet MS"/>
        </w:rPr>
        <w:t xml:space="preserve"> so reformiert werden, dass die Trägerschaft der Organisat</w:t>
      </w:r>
      <w:r w:rsidR="006B6F67" w:rsidRPr="0002245C">
        <w:rPr>
          <w:rFonts w:ascii="Trebuchet MS" w:hAnsi="Trebuchet MS"/>
        </w:rPr>
        <w:t>ionen nach § 140f SGB V sicher</w:t>
      </w:r>
      <w:r w:rsidR="000B79C6" w:rsidRPr="0002245C">
        <w:rPr>
          <w:rFonts w:ascii="Trebuchet MS" w:hAnsi="Trebuchet MS"/>
        </w:rPr>
        <w:t xml:space="preserve"> gestellt wird.</w:t>
      </w:r>
    </w:p>
    <w:p w:rsidR="000B79C6" w:rsidRDefault="000B79C6" w:rsidP="000B79C6"/>
    <w:p w:rsidR="00DE6DF2" w:rsidRDefault="00DE6DF2" w:rsidP="000B79C6"/>
    <w:p w:rsidR="000B79C6" w:rsidRPr="00DE6DF2" w:rsidRDefault="004A03FC" w:rsidP="00DE6DF2">
      <w:pPr>
        <w:pStyle w:val="Listenabsatz"/>
        <w:numPr>
          <w:ilvl w:val="0"/>
          <w:numId w:val="16"/>
        </w:numPr>
        <w:rPr>
          <w:rFonts w:ascii="Trebuchet MS" w:hAnsi="Trebuchet MS"/>
          <w:b/>
          <w:bCs/>
        </w:rPr>
      </w:pPr>
      <w:proofErr w:type="spellStart"/>
      <w:r w:rsidRPr="00DE6DF2">
        <w:rPr>
          <w:rFonts w:ascii="Trebuchet MS" w:hAnsi="Trebuchet MS"/>
          <w:b/>
          <w:bCs/>
        </w:rPr>
        <w:t>Telekonsil</w:t>
      </w:r>
      <w:proofErr w:type="spellEnd"/>
      <w:r w:rsidRPr="00DE6DF2">
        <w:rPr>
          <w:rFonts w:ascii="Trebuchet MS" w:hAnsi="Trebuchet MS"/>
          <w:b/>
          <w:bCs/>
        </w:rPr>
        <w:t xml:space="preserve"> (§ 87 Abs. 2a S. 13-15)</w:t>
      </w:r>
    </w:p>
    <w:p w:rsidR="004A03FC" w:rsidRPr="00DE6DF2" w:rsidRDefault="004A03FC" w:rsidP="004A03FC">
      <w:pPr>
        <w:pStyle w:val="Listenabsatz"/>
        <w:rPr>
          <w:rFonts w:ascii="Trebuchet MS" w:hAnsi="Trebuchet MS"/>
          <w:b/>
          <w:bCs/>
        </w:rPr>
      </w:pPr>
    </w:p>
    <w:p w:rsidR="000B79C6" w:rsidRPr="00DE6DF2" w:rsidRDefault="004A03FC" w:rsidP="00806F21">
      <w:pPr>
        <w:spacing w:line="360" w:lineRule="auto"/>
        <w:rPr>
          <w:rFonts w:ascii="Trebuchet MS" w:hAnsi="Trebuchet MS"/>
        </w:rPr>
      </w:pPr>
      <w:r w:rsidRPr="00DE6DF2">
        <w:rPr>
          <w:rFonts w:ascii="Trebuchet MS" w:hAnsi="Trebuchet MS"/>
        </w:rPr>
        <w:t>Die Regelung wird grundsätzlich begrüßt. Aus der Sicht der BAG SELBSTHILFE ist alle</w:t>
      </w:r>
      <w:r w:rsidRPr="00DE6DF2">
        <w:rPr>
          <w:rFonts w:ascii="Trebuchet MS" w:hAnsi="Trebuchet MS"/>
        </w:rPr>
        <w:t>r</w:t>
      </w:r>
      <w:r w:rsidRPr="00DE6DF2">
        <w:rPr>
          <w:rFonts w:ascii="Trebuchet MS" w:hAnsi="Trebuchet MS"/>
        </w:rPr>
        <w:t xml:space="preserve">dings </w:t>
      </w:r>
      <w:r w:rsidR="000B79C6" w:rsidRPr="00DE6DF2">
        <w:rPr>
          <w:rFonts w:ascii="Trebuchet MS" w:hAnsi="Trebuchet MS"/>
        </w:rPr>
        <w:t xml:space="preserve">Voraussetzung für die Hinzuziehung weiterer Ärzte zu einem </w:t>
      </w:r>
      <w:proofErr w:type="spellStart"/>
      <w:r w:rsidR="000B79C6" w:rsidRPr="00DE6DF2">
        <w:rPr>
          <w:rFonts w:ascii="Trebuchet MS" w:hAnsi="Trebuchet MS"/>
        </w:rPr>
        <w:t>Telekon</w:t>
      </w:r>
      <w:r w:rsidRPr="00DE6DF2">
        <w:rPr>
          <w:rFonts w:ascii="Trebuchet MS" w:hAnsi="Trebuchet MS"/>
        </w:rPr>
        <w:t>sil</w:t>
      </w:r>
      <w:proofErr w:type="spellEnd"/>
      <w:r w:rsidRPr="00DE6DF2">
        <w:rPr>
          <w:rFonts w:ascii="Trebuchet MS" w:hAnsi="Trebuchet MS"/>
        </w:rPr>
        <w:t xml:space="preserve"> </w:t>
      </w:r>
      <w:r w:rsidR="000B79C6" w:rsidRPr="00DE6DF2">
        <w:rPr>
          <w:rFonts w:ascii="Trebuchet MS" w:hAnsi="Trebuchet MS"/>
        </w:rPr>
        <w:t>grundsät</w:t>
      </w:r>
      <w:r w:rsidR="000B79C6" w:rsidRPr="00DE6DF2">
        <w:rPr>
          <w:rFonts w:ascii="Trebuchet MS" w:hAnsi="Trebuchet MS"/>
        </w:rPr>
        <w:t>z</w:t>
      </w:r>
      <w:r w:rsidR="000B79C6" w:rsidRPr="00DE6DF2">
        <w:rPr>
          <w:rFonts w:ascii="Trebuchet MS" w:hAnsi="Trebuchet MS"/>
        </w:rPr>
        <w:t>lich die hierauf gerichtete Einwilligung des Pati</w:t>
      </w:r>
      <w:r w:rsidRPr="00DE6DF2">
        <w:rPr>
          <w:rFonts w:ascii="Trebuchet MS" w:hAnsi="Trebuchet MS"/>
        </w:rPr>
        <w:t>enten. Ein Hinweis darauf sollte zumi</w:t>
      </w:r>
      <w:r w:rsidRPr="00DE6DF2">
        <w:rPr>
          <w:rFonts w:ascii="Trebuchet MS" w:hAnsi="Trebuchet MS"/>
        </w:rPr>
        <w:t>n</w:t>
      </w:r>
      <w:r w:rsidRPr="00DE6DF2">
        <w:rPr>
          <w:rFonts w:ascii="Trebuchet MS" w:hAnsi="Trebuchet MS"/>
        </w:rPr>
        <w:t>dest in die Gesetzesbegründung aufgenommen werden.</w:t>
      </w:r>
    </w:p>
    <w:p w:rsidR="000B79C6" w:rsidRPr="00DE6DF2" w:rsidRDefault="000B79C6" w:rsidP="000B79C6">
      <w:pPr>
        <w:rPr>
          <w:rFonts w:ascii="Trebuchet MS" w:hAnsi="Trebuchet MS"/>
        </w:rPr>
      </w:pPr>
    </w:p>
    <w:p w:rsidR="00B94849" w:rsidRPr="00DF2702" w:rsidRDefault="00B94849" w:rsidP="000B79C6">
      <w:pPr>
        <w:rPr>
          <w:b/>
        </w:rPr>
      </w:pPr>
    </w:p>
    <w:p w:rsidR="00B94849" w:rsidRPr="00DF2702" w:rsidRDefault="00B94849" w:rsidP="00DF2702">
      <w:pPr>
        <w:pStyle w:val="Listenabsatz"/>
        <w:numPr>
          <w:ilvl w:val="0"/>
          <w:numId w:val="14"/>
        </w:numPr>
        <w:rPr>
          <w:rFonts w:ascii="Trebuchet MS" w:hAnsi="Trebuchet MS"/>
          <w:b/>
        </w:rPr>
      </w:pPr>
      <w:r w:rsidRPr="00DF2702">
        <w:rPr>
          <w:rFonts w:ascii="Trebuchet MS" w:hAnsi="Trebuchet MS"/>
          <w:b/>
        </w:rPr>
        <w:t>Innovationsfonds (§ 92a SGB V)</w:t>
      </w:r>
    </w:p>
    <w:p w:rsidR="00B94849" w:rsidRPr="00DF2702" w:rsidRDefault="00B94849" w:rsidP="00B94849">
      <w:pPr>
        <w:rPr>
          <w:rFonts w:ascii="Trebuchet MS" w:hAnsi="Trebuchet MS"/>
          <w:b/>
        </w:rPr>
      </w:pPr>
    </w:p>
    <w:p w:rsidR="00806F21" w:rsidRDefault="00B94849" w:rsidP="00806F21">
      <w:pPr>
        <w:spacing w:line="360" w:lineRule="auto"/>
        <w:jc w:val="both"/>
        <w:rPr>
          <w:rFonts w:ascii="Trebuchet MS" w:hAnsi="Trebuchet MS" w:cs="Arial"/>
        </w:rPr>
      </w:pPr>
      <w:r w:rsidRPr="00806F21">
        <w:rPr>
          <w:rFonts w:ascii="Trebuchet MS" w:hAnsi="Trebuchet MS" w:cs="Arial"/>
        </w:rPr>
        <w:t>Die BAG SELBSTHILFE begrüßt die geplante Fortführung und Weiterentwicklung des Inn</w:t>
      </w:r>
      <w:r w:rsidRPr="00806F21">
        <w:rPr>
          <w:rFonts w:ascii="Trebuchet MS" w:hAnsi="Trebuchet MS" w:cs="Arial"/>
        </w:rPr>
        <w:t>o</w:t>
      </w:r>
      <w:r w:rsidRPr="00806F21">
        <w:rPr>
          <w:rFonts w:ascii="Trebuchet MS" w:hAnsi="Trebuchet MS" w:cs="Arial"/>
        </w:rPr>
        <w:t>vation</w:t>
      </w:r>
      <w:r w:rsidR="00806F21">
        <w:rPr>
          <w:rFonts w:ascii="Trebuchet MS" w:hAnsi="Trebuchet MS" w:cs="Arial"/>
        </w:rPr>
        <w:t xml:space="preserve">sfonds um weitere 5 Jahre sehr, insbesondere die Ausgestaltung des Transfers in die Regelversorgung. </w:t>
      </w:r>
      <w:r w:rsidR="00806F21" w:rsidRPr="00806F21">
        <w:rPr>
          <w:rFonts w:ascii="Trebuchet MS" w:hAnsi="Trebuchet MS"/>
        </w:rPr>
        <w:t xml:space="preserve">Aus der Sicht </w:t>
      </w:r>
      <w:r w:rsidR="00806F21">
        <w:rPr>
          <w:rFonts w:ascii="Trebuchet MS" w:hAnsi="Trebuchet MS"/>
        </w:rPr>
        <w:t>der BAG SELBSTHILFE ist es</w:t>
      </w:r>
      <w:r w:rsidR="00806F21" w:rsidRPr="00806F21">
        <w:rPr>
          <w:rFonts w:ascii="Trebuchet MS" w:hAnsi="Trebuchet MS"/>
        </w:rPr>
        <w:t xml:space="preserve"> </w:t>
      </w:r>
      <w:r w:rsidR="00806F21">
        <w:rPr>
          <w:rFonts w:ascii="Trebuchet MS" w:hAnsi="Trebuchet MS"/>
        </w:rPr>
        <w:t xml:space="preserve">enorm </w:t>
      </w:r>
      <w:r w:rsidR="00806F21" w:rsidRPr="00806F21">
        <w:rPr>
          <w:rFonts w:ascii="Trebuchet MS" w:hAnsi="Trebuchet MS"/>
        </w:rPr>
        <w:t>wichtig, dass e</w:t>
      </w:r>
      <w:r w:rsidR="00806F21" w:rsidRPr="00806F21">
        <w:rPr>
          <w:rFonts w:ascii="Trebuchet MS" w:hAnsi="Trebuchet MS"/>
        </w:rPr>
        <w:t>r</w:t>
      </w:r>
      <w:r w:rsidR="00806F21" w:rsidRPr="00806F21">
        <w:rPr>
          <w:rFonts w:ascii="Trebuchet MS" w:hAnsi="Trebuchet MS"/>
        </w:rPr>
        <w:t>folgreiche Projekte grundsätzlich</w:t>
      </w:r>
      <w:r w:rsidR="00806F21">
        <w:rPr>
          <w:rFonts w:ascii="Trebuchet MS" w:hAnsi="Trebuchet MS"/>
        </w:rPr>
        <w:t xml:space="preserve"> – soweit möglich -</w:t>
      </w:r>
      <w:r w:rsidR="00806F21" w:rsidRPr="00806F21">
        <w:rPr>
          <w:rFonts w:ascii="Trebuchet MS" w:hAnsi="Trebuchet MS"/>
        </w:rPr>
        <w:t xml:space="preserve"> Ein</w:t>
      </w:r>
      <w:r w:rsidR="00806F21">
        <w:rPr>
          <w:rFonts w:ascii="Trebuchet MS" w:hAnsi="Trebuchet MS"/>
        </w:rPr>
        <w:t>gang in den Kollektivvertrag fi</w:t>
      </w:r>
      <w:r w:rsidR="00806F21">
        <w:rPr>
          <w:rFonts w:ascii="Trebuchet MS" w:hAnsi="Trebuchet MS"/>
        </w:rPr>
        <w:t>n</w:t>
      </w:r>
      <w:r w:rsidR="00806F21">
        <w:rPr>
          <w:rFonts w:ascii="Trebuchet MS" w:hAnsi="Trebuchet MS"/>
        </w:rPr>
        <w:t>den und nicht nur als Selektivverträge weitergeführt werden</w:t>
      </w:r>
      <w:r w:rsidR="00806F21" w:rsidRPr="00806F21">
        <w:rPr>
          <w:rFonts w:ascii="Trebuchet MS" w:hAnsi="Trebuchet MS"/>
        </w:rPr>
        <w:t>. Von daher sollte</w:t>
      </w:r>
      <w:r w:rsidR="00806F21">
        <w:rPr>
          <w:rFonts w:ascii="Trebuchet MS" w:hAnsi="Trebuchet MS"/>
        </w:rPr>
        <w:t xml:space="preserve"> es – über die derzeitigen Regelungen hinaus -</w:t>
      </w:r>
      <w:r w:rsidR="00806F21" w:rsidRPr="00806F21">
        <w:rPr>
          <w:rFonts w:ascii="Trebuchet MS" w:hAnsi="Trebuchet MS"/>
        </w:rPr>
        <w:t xml:space="preserve"> eine Begründungspflicht des der Innovationsau</w:t>
      </w:r>
      <w:r w:rsidR="00806F21" w:rsidRPr="00806F21">
        <w:rPr>
          <w:rFonts w:ascii="Trebuchet MS" w:hAnsi="Trebuchet MS"/>
        </w:rPr>
        <w:t>s</w:t>
      </w:r>
      <w:r w:rsidR="00AC4219">
        <w:rPr>
          <w:rFonts w:ascii="Trebuchet MS" w:hAnsi="Trebuchet MS"/>
        </w:rPr>
        <w:t>schusses dahingehen geben, dass wenn</w:t>
      </w:r>
      <w:r w:rsidR="00806F21" w:rsidRPr="00806F21">
        <w:rPr>
          <w:rFonts w:ascii="Trebuchet MS" w:hAnsi="Trebuchet MS"/>
        </w:rPr>
        <w:t xml:space="preserve"> ein erfolgreiches Projekt </w:t>
      </w:r>
      <w:r w:rsidR="00806F21" w:rsidRPr="00806F21">
        <w:rPr>
          <w:rFonts w:ascii="Trebuchet MS" w:hAnsi="Trebuchet MS"/>
          <w:u w:val="single"/>
        </w:rPr>
        <w:t>nicht</w:t>
      </w:r>
      <w:r w:rsidR="00806F21" w:rsidRPr="00806F21">
        <w:rPr>
          <w:rFonts w:ascii="Trebuchet MS" w:hAnsi="Trebuchet MS"/>
        </w:rPr>
        <w:t xml:space="preserve"> in die Regelve</w:t>
      </w:r>
      <w:r w:rsidR="00806F21" w:rsidRPr="00806F21">
        <w:rPr>
          <w:rFonts w:ascii="Trebuchet MS" w:hAnsi="Trebuchet MS"/>
        </w:rPr>
        <w:t>r</w:t>
      </w:r>
      <w:r w:rsidR="00806F21" w:rsidRPr="00806F21">
        <w:rPr>
          <w:rFonts w:ascii="Trebuchet MS" w:hAnsi="Trebuchet MS"/>
        </w:rPr>
        <w:t>sorgung überführt wer</w:t>
      </w:r>
      <w:r w:rsidR="00AC4219">
        <w:rPr>
          <w:rFonts w:ascii="Trebuchet MS" w:hAnsi="Trebuchet MS"/>
        </w:rPr>
        <w:t>den kann,</w:t>
      </w:r>
      <w:r w:rsidR="00806F21" w:rsidRPr="00806F21">
        <w:rPr>
          <w:rFonts w:ascii="Trebuchet MS" w:hAnsi="Trebuchet MS"/>
        </w:rPr>
        <w:t xml:space="preserve"> die Gründe mit belastbarer Evidenz unterlegt</w:t>
      </w:r>
      <w:r w:rsidR="00806F21">
        <w:rPr>
          <w:rFonts w:ascii="Trebuchet MS" w:hAnsi="Trebuchet MS"/>
        </w:rPr>
        <w:t xml:space="preserve"> we</w:t>
      </w:r>
      <w:r w:rsidR="00806F21">
        <w:rPr>
          <w:rFonts w:ascii="Trebuchet MS" w:hAnsi="Trebuchet MS"/>
        </w:rPr>
        <w:t>r</w:t>
      </w:r>
      <w:r w:rsidR="00806F21">
        <w:rPr>
          <w:rFonts w:ascii="Trebuchet MS" w:hAnsi="Trebuchet MS"/>
        </w:rPr>
        <w:t xml:space="preserve">den. </w:t>
      </w:r>
    </w:p>
    <w:p w:rsidR="00806F21" w:rsidRDefault="00806F21" w:rsidP="00806F21">
      <w:pPr>
        <w:spacing w:line="360" w:lineRule="auto"/>
        <w:jc w:val="both"/>
        <w:rPr>
          <w:rFonts w:ascii="Trebuchet MS" w:hAnsi="Trebuchet MS" w:cs="Arial"/>
        </w:rPr>
      </w:pPr>
    </w:p>
    <w:p w:rsidR="00B94849" w:rsidRPr="00806F21" w:rsidRDefault="00B94849" w:rsidP="00806F21">
      <w:pPr>
        <w:spacing w:line="360" w:lineRule="auto"/>
        <w:jc w:val="both"/>
        <w:rPr>
          <w:rFonts w:ascii="Trebuchet MS" w:hAnsi="Trebuchet MS" w:cs="Arial"/>
        </w:rPr>
      </w:pPr>
      <w:r w:rsidRPr="00806F21">
        <w:rPr>
          <w:rFonts w:ascii="Trebuchet MS" w:hAnsi="Trebuchet MS" w:cs="Arial"/>
        </w:rPr>
        <w:t xml:space="preserve">Sie sieht allerdings </w:t>
      </w:r>
      <w:r w:rsidR="00806F21">
        <w:rPr>
          <w:rFonts w:ascii="Trebuchet MS" w:hAnsi="Trebuchet MS" w:cs="Arial"/>
        </w:rPr>
        <w:t xml:space="preserve">darüber hinaus </w:t>
      </w:r>
      <w:r w:rsidRPr="00806F21">
        <w:rPr>
          <w:rFonts w:ascii="Trebuchet MS" w:hAnsi="Trebuchet MS" w:cs="Arial"/>
        </w:rPr>
        <w:t>an einigen Stellen noch Änderungsbedarf:</w:t>
      </w:r>
    </w:p>
    <w:p w:rsidR="00B94849" w:rsidRPr="00806F21" w:rsidRDefault="00B94849" w:rsidP="00806F21">
      <w:pPr>
        <w:pStyle w:val="Listenabsatz"/>
        <w:spacing w:line="360" w:lineRule="auto"/>
        <w:jc w:val="both"/>
        <w:rPr>
          <w:rFonts w:ascii="Trebuchet MS" w:hAnsi="Trebuchet MS" w:cs="Arial"/>
        </w:rPr>
      </w:pPr>
    </w:p>
    <w:p w:rsidR="00B94849" w:rsidRPr="00806F21" w:rsidRDefault="00B94849" w:rsidP="00806F21">
      <w:pPr>
        <w:pStyle w:val="Listenabsatz"/>
        <w:numPr>
          <w:ilvl w:val="0"/>
          <w:numId w:val="17"/>
        </w:numPr>
        <w:spacing w:line="360" w:lineRule="auto"/>
        <w:jc w:val="both"/>
        <w:rPr>
          <w:rFonts w:ascii="Trebuchet MS" w:hAnsi="Trebuchet MS" w:cs="Arial"/>
        </w:rPr>
      </w:pPr>
      <w:r w:rsidRPr="00806F21">
        <w:rPr>
          <w:rFonts w:ascii="Trebuchet MS" w:hAnsi="Trebuchet MS" w:cs="Arial"/>
          <w:b/>
          <w:bCs/>
        </w:rPr>
        <w:t>Zweistufiges Antrags-, Beratungs- und Auswahlverfahren im Bereich Neue Versorgungsformen (Artikel 1 Nr. 11a)</w:t>
      </w:r>
    </w:p>
    <w:p w:rsidR="00B94849" w:rsidRPr="00806F21" w:rsidRDefault="00B94849" w:rsidP="00806F21">
      <w:pPr>
        <w:spacing w:line="360" w:lineRule="auto"/>
        <w:jc w:val="both"/>
        <w:rPr>
          <w:rFonts w:ascii="Trebuchet MS" w:hAnsi="Trebuchet MS" w:cs="Arial"/>
        </w:rPr>
      </w:pPr>
    </w:p>
    <w:p w:rsidR="00CC052C" w:rsidRPr="00806F21" w:rsidRDefault="00CC052C" w:rsidP="00806F21">
      <w:pPr>
        <w:spacing w:line="360" w:lineRule="auto"/>
        <w:jc w:val="both"/>
        <w:rPr>
          <w:rFonts w:ascii="Trebuchet MS" w:hAnsi="Trebuchet MS" w:cs="Arial"/>
        </w:rPr>
      </w:pPr>
      <w:r w:rsidRPr="00806F21">
        <w:rPr>
          <w:rFonts w:ascii="Trebuchet MS" w:hAnsi="Trebuchet MS" w:cs="Arial"/>
        </w:rPr>
        <w:t>Die entsprechenden</w:t>
      </w:r>
      <w:r w:rsidR="00B94849" w:rsidRPr="00806F21">
        <w:rPr>
          <w:rFonts w:ascii="Trebuchet MS" w:hAnsi="Trebuchet MS" w:cs="Arial"/>
        </w:rPr>
        <w:t xml:space="preserve"> Vorgabe</w:t>
      </w:r>
      <w:r w:rsidRPr="00806F21">
        <w:rPr>
          <w:rFonts w:ascii="Trebuchet MS" w:hAnsi="Trebuchet MS" w:cs="Arial"/>
        </w:rPr>
        <w:t xml:space="preserve">n sind seitens der BAG SELBSTHILFE sehr zu begrüßen. </w:t>
      </w:r>
    </w:p>
    <w:p w:rsidR="00CC052C" w:rsidRPr="00806F21" w:rsidRDefault="00CC052C" w:rsidP="00806F21">
      <w:pPr>
        <w:spacing w:line="360" w:lineRule="auto"/>
        <w:jc w:val="both"/>
        <w:rPr>
          <w:rFonts w:ascii="Trebuchet MS" w:hAnsi="Trebuchet MS" w:cs="Arial"/>
        </w:rPr>
      </w:pPr>
    </w:p>
    <w:p w:rsidR="00B94849" w:rsidRPr="00806F21" w:rsidRDefault="00B94849" w:rsidP="00806F21">
      <w:pPr>
        <w:spacing w:line="360" w:lineRule="auto"/>
        <w:jc w:val="both"/>
        <w:rPr>
          <w:rFonts w:ascii="Trebuchet MS" w:hAnsi="Trebuchet MS" w:cs="Arial"/>
        </w:rPr>
      </w:pPr>
      <w:r w:rsidRPr="00806F21">
        <w:rPr>
          <w:rFonts w:ascii="Trebuchet MS" w:hAnsi="Trebuchet MS" w:cs="Arial"/>
        </w:rPr>
        <w:lastRenderedPageBreak/>
        <w:t>Um den administrativen und zeitlichen Aufwand in der ersten Phase zu begrenzen, sol</w:t>
      </w:r>
      <w:r w:rsidRPr="00806F21">
        <w:rPr>
          <w:rFonts w:ascii="Trebuchet MS" w:hAnsi="Trebuchet MS" w:cs="Arial"/>
        </w:rPr>
        <w:t>l</w:t>
      </w:r>
      <w:r w:rsidRPr="00806F21">
        <w:rPr>
          <w:rFonts w:ascii="Trebuchet MS" w:hAnsi="Trebuchet MS" w:cs="Arial"/>
        </w:rPr>
        <w:t>ten jedoch klare Regelungen für die Konzeptphase gelten. So sind beispielsweise klare Stichtage für die Einreichung und Abgabe der Konzeptskizzen zu setzen, und mögliche Finanzierungsumfänge bzw. eine maximale Gesamtfördersumme z. B. in Höhe von 100.000 € für maximal 6 Monate müssen festgelegt werden. Dies kann gegebenenfalls auch im Rahmen der Verfahrens- und Geschäftsordnung des Innovationausschusses erfo</w:t>
      </w:r>
      <w:r w:rsidRPr="00806F21">
        <w:rPr>
          <w:rFonts w:ascii="Trebuchet MS" w:hAnsi="Trebuchet MS" w:cs="Arial"/>
        </w:rPr>
        <w:t>l</w:t>
      </w:r>
      <w:r w:rsidRPr="00806F21">
        <w:rPr>
          <w:rFonts w:ascii="Trebuchet MS" w:hAnsi="Trebuchet MS" w:cs="Arial"/>
        </w:rPr>
        <w:t>gen.</w:t>
      </w:r>
    </w:p>
    <w:p w:rsidR="00B94849" w:rsidRPr="00806F21" w:rsidRDefault="00B94849" w:rsidP="00806F21">
      <w:pPr>
        <w:spacing w:line="360" w:lineRule="auto"/>
        <w:jc w:val="both"/>
        <w:rPr>
          <w:rFonts w:ascii="Trebuchet MS" w:hAnsi="Trebuchet MS" w:cs="Arial"/>
        </w:rPr>
      </w:pPr>
    </w:p>
    <w:p w:rsidR="00B94849" w:rsidRPr="00806F21" w:rsidRDefault="00B94849" w:rsidP="00806F21">
      <w:pPr>
        <w:spacing w:line="360" w:lineRule="auto"/>
        <w:jc w:val="both"/>
        <w:rPr>
          <w:rFonts w:ascii="Trebuchet MS" w:hAnsi="Trebuchet MS" w:cs="Arial"/>
        </w:rPr>
      </w:pPr>
      <w:r w:rsidRPr="00806F21">
        <w:rPr>
          <w:rFonts w:ascii="Trebuchet MS" w:hAnsi="Trebuchet MS" w:cs="Arial"/>
        </w:rPr>
        <w:t>In der Konzeptphase sollte zudem die Beratung der Projekte unter Einbeziehung von P</w:t>
      </w:r>
      <w:r w:rsidRPr="00806F21">
        <w:rPr>
          <w:rFonts w:ascii="Trebuchet MS" w:hAnsi="Trebuchet MS" w:cs="Arial"/>
        </w:rPr>
        <w:t>a</w:t>
      </w:r>
      <w:r w:rsidRPr="00806F21">
        <w:rPr>
          <w:rFonts w:ascii="Trebuchet MS" w:hAnsi="Trebuchet MS" w:cs="Arial"/>
        </w:rPr>
        <w:t>tientenorganisationen verpflichtend aufgenommen werden, um eine patientenorientie</w:t>
      </w:r>
      <w:r w:rsidRPr="00806F21">
        <w:rPr>
          <w:rFonts w:ascii="Trebuchet MS" w:hAnsi="Trebuchet MS" w:cs="Arial"/>
        </w:rPr>
        <w:t>r</w:t>
      </w:r>
      <w:r w:rsidRPr="00806F21">
        <w:rPr>
          <w:rFonts w:ascii="Trebuchet MS" w:hAnsi="Trebuchet MS" w:cs="Arial"/>
        </w:rPr>
        <w:t>te Projektdurchführung zu garantieren. Gleichzeitig muss eine proaktive Beratung von Patientenorganisationen und Selbsthilfegruppen über mögliche Kooperationsmöglichke</w:t>
      </w:r>
      <w:r w:rsidRPr="00806F21">
        <w:rPr>
          <w:rFonts w:ascii="Trebuchet MS" w:hAnsi="Trebuchet MS" w:cs="Arial"/>
        </w:rPr>
        <w:t>i</w:t>
      </w:r>
      <w:r w:rsidRPr="00806F21">
        <w:rPr>
          <w:rFonts w:ascii="Trebuchet MS" w:hAnsi="Trebuchet MS" w:cs="Arial"/>
        </w:rPr>
        <w:t xml:space="preserve">ten erfolgen. Diese würde eine bisherige Lücke schließen und auch den Empfehlungen des Gutachtens der </w:t>
      </w:r>
      <w:proofErr w:type="spellStart"/>
      <w:r w:rsidRPr="00806F21">
        <w:rPr>
          <w:rFonts w:ascii="Trebuchet MS" w:hAnsi="Trebuchet MS" w:cs="Arial"/>
        </w:rPr>
        <w:t>Prognos</w:t>
      </w:r>
      <w:proofErr w:type="spellEnd"/>
      <w:r w:rsidRPr="00806F21">
        <w:rPr>
          <w:rFonts w:ascii="Trebuchet MS" w:hAnsi="Trebuchet MS" w:cs="Arial"/>
        </w:rPr>
        <w:t xml:space="preserve"> AG entsprechen</w:t>
      </w:r>
      <w:r w:rsidRPr="00806F21">
        <w:rPr>
          <w:rStyle w:val="Funotenzeichen"/>
          <w:rFonts w:ascii="Trebuchet MS" w:hAnsi="Trebuchet MS" w:cs="Arial"/>
        </w:rPr>
        <w:footnoteReference w:id="1"/>
      </w:r>
      <w:r w:rsidRPr="00806F21">
        <w:rPr>
          <w:rFonts w:ascii="Trebuchet MS" w:hAnsi="Trebuchet MS" w:cs="Arial"/>
        </w:rPr>
        <w:t xml:space="preserve">. </w:t>
      </w:r>
    </w:p>
    <w:p w:rsidR="00B94849" w:rsidRPr="00806F21" w:rsidRDefault="00B94849" w:rsidP="00806F21">
      <w:pPr>
        <w:spacing w:line="360" w:lineRule="auto"/>
        <w:jc w:val="both"/>
        <w:rPr>
          <w:rFonts w:ascii="Trebuchet MS" w:hAnsi="Trebuchet MS" w:cs="Arial"/>
        </w:rPr>
      </w:pPr>
    </w:p>
    <w:p w:rsidR="00B94849" w:rsidRPr="00806F21" w:rsidRDefault="00B94849" w:rsidP="00806F21">
      <w:pPr>
        <w:spacing w:line="360" w:lineRule="auto"/>
        <w:jc w:val="both"/>
        <w:rPr>
          <w:rFonts w:ascii="Trebuchet MS" w:hAnsi="Trebuchet MS" w:cs="Arial"/>
        </w:rPr>
      </w:pPr>
      <w:r w:rsidRPr="00806F21">
        <w:rPr>
          <w:rFonts w:ascii="Trebuchet MS" w:hAnsi="Trebuchet MS" w:cs="Arial"/>
        </w:rPr>
        <w:t>Hier wurde die geringe Einbeziehung in der Konzeptphase eindrücklich aufgezeigt: „</w:t>
      </w:r>
      <w:r w:rsidRPr="00806F21">
        <w:rPr>
          <w:rFonts w:ascii="Trebuchet MS" w:hAnsi="Trebuchet MS" w:cs="Arial"/>
          <w:i/>
        </w:rPr>
        <w:t>Mit jeweils drei Projekten (1%) gibt in beiden Förderlinien jedoch nur ein sehr geringer A</w:t>
      </w:r>
      <w:r w:rsidRPr="00806F21">
        <w:rPr>
          <w:rFonts w:ascii="Trebuchet MS" w:hAnsi="Trebuchet MS" w:cs="Arial"/>
          <w:i/>
        </w:rPr>
        <w:t>n</w:t>
      </w:r>
      <w:r w:rsidRPr="00806F21">
        <w:rPr>
          <w:rFonts w:ascii="Trebuchet MS" w:hAnsi="Trebuchet MS" w:cs="Arial"/>
          <w:i/>
        </w:rPr>
        <w:t>teil der befragten Förderempfänger an, dass Patientinnen bzw. Patienten oder deren Organisationen die Konzeption des Projektes entscheidend mitbestimmt haben.“ (Astor, M. et al. (2019) S. 99)</w:t>
      </w:r>
    </w:p>
    <w:p w:rsidR="00B94849" w:rsidRPr="00806F21" w:rsidRDefault="00B94849" w:rsidP="00806F21">
      <w:pPr>
        <w:spacing w:line="360" w:lineRule="auto"/>
        <w:jc w:val="both"/>
        <w:rPr>
          <w:rFonts w:ascii="Trebuchet MS" w:hAnsi="Trebuchet MS" w:cs="Arial"/>
          <w:color w:val="000000"/>
        </w:rPr>
      </w:pPr>
    </w:p>
    <w:p w:rsidR="00B94849" w:rsidRPr="00806F21" w:rsidRDefault="00B94849" w:rsidP="00806F21">
      <w:pPr>
        <w:spacing w:line="360" w:lineRule="auto"/>
        <w:jc w:val="both"/>
        <w:rPr>
          <w:rFonts w:ascii="Trebuchet MS" w:hAnsi="Trebuchet MS" w:cs="Arial"/>
          <w:color w:val="000000"/>
        </w:rPr>
      </w:pPr>
      <w:r w:rsidRPr="00806F21">
        <w:rPr>
          <w:rFonts w:ascii="Trebuchet MS" w:hAnsi="Trebuchet MS" w:cs="Arial"/>
          <w:color w:val="000000"/>
        </w:rPr>
        <w:t xml:space="preserve">Die administrative Abwicklung könnte durch die Stabsstelle Patientenvertretung des G-BA bzw. des Innovationsfonds erfolgen. </w:t>
      </w:r>
    </w:p>
    <w:p w:rsidR="00B94849" w:rsidRPr="00806F21" w:rsidRDefault="00B94849" w:rsidP="00806F21">
      <w:pPr>
        <w:spacing w:line="360" w:lineRule="auto"/>
        <w:jc w:val="both"/>
        <w:rPr>
          <w:rFonts w:ascii="Trebuchet MS" w:hAnsi="Trebuchet MS" w:cs="Arial"/>
          <w:color w:val="000000"/>
        </w:rPr>
      </w:pPr>
    </w:p>
    <w:p w:rsidR="00B94849" w:rsidRPr="00806F21" w:rsidRDefault="00B94849" w:rsidP="00806F21">
      <w:pPr>
        <w:pStyle w:val="Listenabsatz"/>
        <w:numPr>
          <w:ilvl w:val="0"/>
          <w:numId w:val="17"/>
        </w:numPr>
        <w:spacing w:line="360" w:lineRule="auto"/>
        <w:jc w:val="both"/>
        <w:rPr>
          <w:rFonts w:ascii="Trebuchet MS" w:hAnsi="Trebuchet MS" w:cs="Arial"/>
        </w:rPr>
      </w:pPr>
      <w:r w:rsidRPr="00806F21">
        <w:rPr>
          <w:rFonts w:ascii="Trebuchet MS" w:hAnsi="Trebuchet MS" w:cs="Arial"/>
          <w:b/>
          <w:bCs/>
        </w:rPr>
        <w:t xml:space="preserve">Zur Erstellung der Gemeinsamen Empfehlung (Artikel 1 Nr. 12. b) </w:t>
      </w:r>
      <w:proofErr w:type="spellStart"/>
      <w:r w:rsidRPr="00806F21">
        <w:rPr>
          <w:rFonts w:ascii="Trebuchet MS" w:hAnsi="Trebuchet MS" w:cs="Arial"/>
          <w:b/>
          <w:bCs/>
        </w:rPr>
        <w:t>dd</w:t>
      </w:r>
      <w:proofErr w:type="spellEnd"/>
      <w:r w:rsidRPr="00806F21">
        <w:rPr>
          <w:rFonts w:ascii="Trebuchet MS" w:hAnsi="Trebuchet MS" w:cs="Arial"/>
          <w:b/>
          <w:bCs/>
        </w:rPr>
        <w:t>) und Nr. 12.e):</w:t>
      </w:r>
      <w:r w:rsidRPr="00806F21">
        <w:rPr>
          <w:rFonts w:ascii="Trebuchet MS" w:hAnsi="Trebuchet MS" w:cs="Arial"/>
        </w:rPr>
        <w:t xml:space="preserve"> </w:t>
      </w:r>
    </w:p>
    <w:p w:rsidR="00B94849" w:rsidRPr="00806F21" w:rsidRDefault="00B94849" w:rsidP="00806F21">
      <w:pPr>
        <w:spacing w:line="360" w:lineRule="auto"/>
        <w:jc w:val="both"/>
        <w:rPr>
          <w:rFonts w:ascii="Trebuchet MS" w:hAnsi="Trebuchet MS" w:cs="Arial"/>
        </w:rPr>
      </w:pPr>
    </w:p>
    <w:p w:rsidR="00B94849" w:rsidRPr="00806F21" w:rsidRDefault="00B94849" w:rsidP="00806F21">
      <w:pPr>
        <w:spacing w:line="360" w:lineRule="auto"/>
        <w:jc w:val="both"/>
        <w:rPr>
          <w:rFonts w:ascii="Trebuchet MS" w:hAnsi="Trebuchet MS" w:cs="Arial"/>
        </w:rPr>
      </w:pPr>
      <w:r w:rsidRPr="00806F21">
        <w:rPr>
          <w:rFonts w:ascii="Trebuchet MS" w:hAnsi="Trebuchet MS" w:cs="Arial"/>
        </w:rPr>
        <w:t>Die BAG SELBSTHILFE begrüßt die Verpflichtung zur Abgabe einer Gemeinsamen Empfe</w:t>
      </w:r>
      <w:r w:rsidRPr="00806F21">
        <w:rPr>
          <w:rFonts w:ascii="Trebuchet MS" w:hAnsi="Trebuchet MS" w:cs="Arial"/>
        </w:rPr>
        <w:t>h</w:t>
      </w:r>
      <w:r w:rsidRPr="00806F21">
        <w:rPr>
          <w:rFonts w:ascii="Trebuchet MS" w:hAnsi="Trebuchet MS" w:cs="Arial"/>
        </w:rPr>
        <w:t>lung sehr. Dies ist ein essentieller Schritt, um die erfolgreichen Projektergebnisse bzw. Projektbestandteile in das Kollektivvertragssystem zu überführen. Allerdings erscheint die im Gesetzentwurf vorgesehene Frist von 3 Monaten sehr ambitioniert. Um eine fu</w:t>
      </w:r>
      <w:r w:rsidRPr="00806F21">
        <w:rPr>
          <w:rFonts w:ascii="Trebuchet MS" w:hAnsi="Trebuchet MS" w:cs="Arial"/>
        </w:rPr>
        <w:t>n</w:t>
      </w:r>
      <w:r w:rsidRPr="00806F21">
        <w:rPr>
          <w:rFonts w:ascii="Trebuchet MS" w:hAnsi="Trebuchet MS" w:cs="Arial"/>
        </w:rPr>
        <w:t xml:space="preserve">dierte Empfehlung zur Übertragung von Projektebestandteilen in die Regelversorgung </w:t>
      </w:r>
      <w:r w:rsidRPr="00806F21">
        <w:rPr>
          <w:rFonts w:ascii="Trebuchet MS" w:hAnsi="Trebuchet MS" w:cs="Arial"/>
        </w:rPr>
        <w:lastRenderedPageBreak/>
        <w:t>aussprechen zu können, muss ein zweistufiges Verfahren durchlaufen werden. Zunächst muss die Begutachtung der Projektziele insgesamt bewertet werden, um daraus Teillei</w:t>
      </w:r>
      <w:r w:rsidRPr="00806F21">
        <w:rPr>
          <w:rFonts w:ascii="Trebuchet MS" w:hAnsi="Trebuchet MS" w:cs="Arial"/>
        </w:rPr>
        <w:t>s</w:t>
      </w:r>
      <w:r w:rsidRPr="00806F21">
        <w:rPr>
          <w:rFonts w:ascii="Trebuchet MS" w:hAnsi="Trebuchet MS" w:cs="Arial"/>
        </w:rPr>
        <w:t xml:space="preserve">tungen für die Empfehlung zur Übertragung zu extrahieren. Es wäre denkbar, innerhalb von 6 Monaten eine derartige Empfehlung inklusive einer konsentierten Beschlussfassung im Innovationsausschuss zu erstellen. </w:t>
      </w:r>
    </w:p>
    <w:p w:rsidR="00B94849" w:rsidRPr="00806F21" w:rsidRDefault="00B94849" w:rsidP="00806F21">
      <w:pPr>
        <w:spacing w:line="360" w:lineRule="auto"/>
        <w:jc w:val="both"/>
        <w:rPr>
          <w:rFonts w:ascii="Trebuchet MS" w:hAnsi="Trebuchet MS" w:cs="Arial"/>
        </w:rPr>
      </w:pPr>
    </w:p>
    <w:p w:rsidR="00B94849" w:rsidRPr="00806F21" w:rsidRDefault="00B94849" w:rsidP="00806F21">
      <w:pPr>
        <w:spacing w:line="360" w:lineRule="auto"/>
        <w:jc w:val="both"/>
        <w:rPr>
          <w:rFonts w:ascii="Trebuchet MS" w:hAnsi="Trebuchet MS" w:cs="Arial"/>
        </w:rPr>
      </w:pPr>
      <w:r w:rsidRPr="00806F21">
        <w:rPr>
          <w:rFonts w:ascii="Trebuchet MS" w:hAnsi="Trebuchet MS" w:cs="Arial"/>
        </w:rPr>
        <w:t>Um die entsprechenden Empfehlungen zu erarbeiten, wäre auch die Bildung eines neuen Transferausschusses - neben dem bestehenden Arbeitsausschuss - sinnvoll, um die en</w:t>
      </w:r>
      <w:r w:rsidRPr="00806F21">
        <w:rPr>
          <w:rFonts w:ascii="Trebuchet MS" w:hAnsi="Trebuchet MS" w:cs="Arial"/>
        </w:rPr>
        <w:t>t</w:t>
      </w:r>
      <w:r w:rsidRPr="00806F21">
        <w:rPr>
          <w:rFonts w:ascii="Trebuchet MS" w:hAnsi="Trebuchet MS" w:cs="Arial"/>
        </w:rPr>
        <w:t xml:space="preserve">sprechenden Vorberatung für die Innovationsausschuss fristgerecht zu erarbeiten. </w:t>
      </w:r>
    </w:p>
    <w:p w:rsidR="00B94849" w:rsidRPr="00806F21" w:rsidRDefault="00B94849" w:rsidP="00806F21">
      <w:pPr>
        <w:spacing w:line="360" w:lineRule="auto"/>
        <w:jc w:val="both"/>
        <w:rPr>
          <w:rFonts w:ascii="Trebuchet MS" w:hAnsi="Trebuchet MS" w:cs="Arial"/>
        </w:rPr>
      </w:pPr>
    </w:p>
    <w:p w:rsidR="00B94849" w:rsidRPr="00806F21" w:rsidRDefault="00B94849" w:rsidP="00806F21">
      <w:pPr>
        <w:spacing w:line="360" w:lineRule="auto"/>
        <w:jc w:val="both"/>
        <w:rPr>
          <w:rFonts w:ascii="Trebuchet MS" w:hAnsi="Trebuchet MS" w:cs="Arial"/>
        </w:rPr>
      </w:pPr>
      <w:r w:rsidRPr="00806F21">
        <w:rPr>
          <w:rFonts w:ascii="Trebuchet MS" w:hAnsi="Trebuchet MS" w:cs="Arial"/>
        </w:rPr>
        <w:t>Nachbesserungen hinsichtlich Fristsetzungen sollten - ohne Gefährdung der jeweiligen internen Zeitfristen- im Gesetz noch an andere Akteure als den G-BA gerichtet sein, z. B. an den Bewertungsausschuss</w:t>
      </w:r>
      <w:r w:rsidR="00D33E2F">
        <w:rPr>
          <w:rFonts w:ascii="Trebuchet MS" w:hAnsi="Trebuchet MS" w:cs="Arial"/>
        </w:rPr>
        <w:t>; aus der Sicht der BAG SELBSTHILFE dürfte hier eine sehr kurze Frist ausreichend sein</w:t>
      </w:r>
      <w:r w:rsidRPr="00806F21">
        <w:rPr>
          <w:rFonts w:ascii="Trebuchet MS" w:hAnsi="Trebuchet MS" w:cs="Arial"/>
        </w:rPr>
        <w:t>. Gute innovative Versorgungsmodelle sind nur bedingt über die G-BA-Zuständigkeiten in das Kollektivvertragssystem überführbar. Um einen schnellen Transfer aller möglichen Teilbestandteile zu garantieren, müssen auch die a</w:t>
      </w:r>
      <w:r w:rsidRPr="00806F21">
        <w:rPr>
          <w:rFonts w:ascii="Trebuchet MS" w:hAnsi="Trebuchet MS" w:cs="Arial"/>
        </w:rPr>
        <w:t>n</w:t>
      </w:r>
      <w:r w:rsidRPr="00806F21">
        <w:rPr>
          <w:rFonts w:ascii="Trebuchet MS" w:hAnsi="Trebuchet MS" w:cs="Arial"/>
        </w:rPr>
        <w:t>deren Akteure zu Handlung und Umsetzung nach erfolgter Empfehlung verpflichtet we</w:t>
      </w:r>
      <w:r w:rsidRPr="00806F21">
        <w:rPr>
          <w:rFonts w:ascii="Trebuchet MS" w:hAnsi="Trebuchet MS" w:cs="Arial"/>
        </w:rPr>
        <w:t>r</w:t>
      </w:r>
      <w:r w:rsidRPr="00806F21">
        <w:rPr>
          <w:rFonts w:ascii="Trebuchet MS" w:hAnsi="Trebuchet MS" w:cs="Arial"/>
        </w:rPr>
        <w:t xml:space="preserve">den. </w:t>
      </w:r>
    </w:p>
    <w:p w:rsidR="00CC052C" w:rsidRPr="00806F21" w:rsidRDefault="00CC052C" w:rsidP="00806F21">
      <w:pPr>
        <w:spacing w:line="360" w:lineRule="auto"/>
        <w:jc w:val="both"/>
        <w:rPr>
          <w:rFonts w:ascii="Trebuchet MS" w:hAnsi="Trebuchet MS" w:cs="Arial"/>
        </w:rPr>
      </w:pPr>
    </w:p>
    <w:p w:rsidR="00B94849" w:rsidRDefault="00AC4219" w:rsidP="00806F21">
      <w:pPr>
        <w:spacing w:line="360" w:lineRule="auto"/>
        <w:jc w:val="both"/>
        <w:rPr>
          <w:rFonts w:ascii="Trebuchet MS" w:hAnsi="Trebuchet MS"/>
        </w:rPr>
      </w:pPr>
      <w:r>
        <w:rPr>
          <w:rFonts w:ascii="Trebuchet MS" w:hAnsi="Trebuchet MS"/>
        </w:rPr>
        <w:t xml:space="preserve">Wie bereits eingangs dargestellt, </w:t>
      </w:r>
      <w:r w:rsidRPr="00806F21">
        <w:rPr>
          <w:rFonts w:ascii="Trebuchet MS" w:hAnsi="Trebuchet MS"/>
        </w:rPr>
        <w:t>sollte</w:t>
      </w:r>
      <w:r>
        <w:rPr>
          <w:rFonts w:ascii="Trebuchet MS" w:hAnsi="Trebuchet MS"/>
        </w:rPr>
        <w:t xml:space="preserve"> es – über die derzeitigen Regelungen hinaus -</w:t>
      </w:r>
      <w:r w:rsidRPr="00806F21">
        <w:rPr>
          <w:rFonts w:ascii="Trebuchet MS" w:hAnsi="Trebuchet MS"/>
        </w:rPr>
        <w:t xml:space="preserve"> e</w:t>
      </w:r>
      <w:r w:rsidRPr="00806F21">
        <w:rPr>
          <w:rFonts w:ascii="Trebuchet MS" w:hAnsi="Trebuchet MS"/>
        </w:rPr>
        <w:t>i</w:t>
      </w:r>
      <w:r w:rsidRPr="00806F21">
        <w:rPr>
          <w:rFonts w:ascii="Trebuchet MS" w:hAnsi="Trebuchet MS"/>
        </w:rPr>
        <w:t>ne Begründungspflicht des der Innovationsaus</w:t>
      </w:r>
      <w:r>
        <w:rPr>
          <w:rFonts w:ascii="Trebuchet MS" w:hAnsi="Trebuchet MS"/>
        </w:rPr>
        <w:t>schusses dahingehen geben, dass wenn</w:t>
      </w:r>
      <w:r w:rsidRPr="00806F21">
        <w:rPr>
          <w:rFonts w:ascii="Trebuchet MS" w:hAnsi="Trebuchet MS"/>
        </w:rPr>
        <w:t xml:space="preserve"> ein erfolgreiches Projekt </w:t>
      </w:r>
      <w:r w:rsidRPr="00806F21">
        <w:rPr>
          <w:rFonts w:ascii="Trebuchet MS" w:hAnsi="Trebuchet MS"/>
          <w:u w:val="single"/>
        </w:rPr>
        <w:t>nicht</w:t>
      </w:r>
      <w:r w:rsidRPr="00806F21">
        <w:rPr>
          <w:rFonts w:ascii="Trebuchet MS" w:hAnsi="Trebuchet MS"/>
        </w:rPr>
        <w:t xml:space="preserve"> in die Regelversorgung überführt wer</w:t>
      </w:r>
      <w:r>
        <w:rPr>
          <w:rFonts w:ascii="Trebuchet MS" w:hAnsi="Trebuchet MS"/>
        </w:rPr>
        <w:t>den kann,</w:t>
      </w:r>
      <w:r w:rsidRPr="00806F21">
        <w:rPr>
          <w:rFonts w:ascii="Trebuchet MS" w:hAnsi="Trebuchet MS"/>
        </w:rPr>
        <w:t xml:space="preserve"> die Grü</w:t>
      </w:r>
      <w:r w:rsidRPr="00806F21">
        <w:rPr>
          <w:rFonts w:ascii="Trebuchet MS" w:hAnsi="Trebuchet MS"/>
        </w:rPr>
        <w:t>n</w:t>
      </w:r>
      <w:r w:rsidRPr="00806F21">
        <w:rPr>
          <w:rFonts w:ascii="Trebuchet MS" w:hAnsi="Trebuchet MS"/>
        </w:rPr>
        <w:t>de mit belastbarer Evidenz unterlegt</w:t>
      </w:r>
      <w:r>
        <w:rPr>
          <w:rFonts w:ascii="Trebuchet MS" w:hAnsi="Trebuchet MS"/>
        </w:rPr>
        <w:t xml:space="preserve"> we</w:t>
      </w:r>
      <w:r>
        <w:rPr>
          <w:rFonts w:ascii="Trebuchet MS" w:hAnsi="Trebuchet MS"/>
        </w:rPr>
        <w:t>r</w:t>
      </w:r>
      <w:r>
        <w:rPr>
          <w:rFonts w:ascii="Trebuchet MS" w:hAnsi="Trebuchet MS"/>
        </w:rPr>
        <w:t>den.</w:t>
      </w:r>
    </w:p>
    <w:p w:rsidR="00AC4219" w:rsidRPr="00806F21" w:rsidRDefault="00AC4219" w:rsidP="00806F21">
      <w:pPr>
        <w:spacing w:line="360" w:lineRule="auto"/>
        <w:jc w:val="both"/>
        <w:rPr>
          <w:rFonts w:ascii="Trebuchet MS" w:hAnsi="Trebuchet MS" w:cs="Arial"/>
          <w:color w:val="000000"/>
        </w:rPr>
      </w:pPr>
      <w:bookmarkStart w:id="0" w:name="_GoBack"/>
      <w:bookmarkEnd w:id="0"/>
    </w:p>
    <w:p w:rsidR="00B94849" w:rsidRPr="00806F21" w:rsidRDefault="00B94849" w:rsidP="00806F21">
      <w:pPr>
        <w:pStyle w:val="Listenabsatz"/>
        <w:numPr>
          <w:ilvl w:val="0"/>
          <w:numId w:val="17"/>
        </w:numPr>
        <w:spacing w:line="360" w:lineRule="auto"/>
        <w:jc w:val="both"/>
        <w:rPr>
          <w:rFonts w:ascii="Trebuchet MS" w:hAnsi="Trebuchet MS" w:cs="Arial"/>
        </w:rPr>
      </w:pPr>
      <w:r w:rsidRPr="00806F21">
        <w:rPr>
          <w:rFonts w:ascii="Trebuchet MS" w:hAnsi="Trebuchet MS" w:cs="Arial"/>
          <w:b/>
          <w:bCs/>
        </w:rPr>
        <w:t>Neue Aufteilung des Fördervolumens (Artikel 1 Nr. 11.c)</w:t>
      </w:r>
    </w:p>
    <w:p w:rsidR="00B94849" w:rsidRPr="00806F21" w:rsidRDefault="00B94849" w:rsidP="00806F21">
      <w:pPr>
        <w:spacing w:line="360" w:lineRule="auto"/>
        <w:jc w:val="both"/>
        <w:rPr>
          <w:rFonts w:ascii="Trebuchet MS" w:hAnsi="Trebuchet MS" w:cs="Arial"/>
          <w:bCs/>
        </w:rPr>
      </w:pPr>
    </w:p>
    <w:p w:rsidR="00B94849" w:rsidRPr="00806F21" w:rsidRDefault="00B94849" w:rsidP="00806F21">
      <w:pPr>
        <w:spacing w:line="360" w:lineRule="auto"/>
        <w:jc w:val="both"/>
        <w:rPr>
          <w:rFonts w:ascii="Trebuchet MS" w:hAnsi="Trebuchet MS" w:cs="Arial"/>
        </w:rPr>
      </w:pPr>
      <w:r w:rsidRPr="00806F21">
        <w:rPr>
          <w:rFonts w:ascii="Trebuchet MS" w:hAnsi="Trebuchet MS" w:cs="Arial"/>
          <w:bCs/>
        </w:rPr>
        <w:t>Die Neuaufteilung</w:t>
      </w:r>
      <w:r w:rsidRPr="00806F21">
        <w:rPr>
          <w:rFonts w:ascii="Trebuchet MS" w:hAnsi="Trebuchet MS" w:cs="Arial"/>
        </w:rPr>
        <w:t xml:space="preserve"> auf 80 % für neue Versorgungsformen und 20 % für die Versorgungsfo</w:t>
      </w:r>
      <w:r w:rsidRPr="00806F21">
        <w:rPr>
          <w:rFonts w:ascii="Trebuchet MS" w:hAnsi="Trebuchet MS" w:cs="Arial"/>
        </w:rPr>
        <w:t>r</w:t>
      </w:r>
      <w:r w:rsidRPr="00806F21">
        <w:rPr>
          <w:rFonts w:ascii="Trebuchet MS" w:hAnsi="Trebuchet MS" w:cs="Arial"/>
        </w:rPr>
        <w:t>schung (VSF) ist aus der Sicht der BAG SELBSTHILFE nachvollziehbar. Der Finanzanteil der Leitlinienentwicklungsförderung in Höhe von 5. Mio. € darf jedoch nicht zulasten den Projekten der Versorgungsforschung gehen. Zum einen würde dies einer doppelten R</w:t>
      </w:r>
      <w:r w:rsidRPr="00806F21">
        <w:rPr>
          <w:rFonts w:ascii="Trebuchet MS" w:hAnsi="Trebuchet MS" w:cs="Arial"/>
        </w:rPr>
        <w:t>e</w:t>
      </w:r>
      <w:r w:rsidRPr="00806F21">
        <w:rPr>
          <w:rFonts w:ascii="Trebuchet MS" w:hAnsi="Trebuchet MS" w:cs="Arial"/>
        </w:rPr>
        <w:t>duktion des Fördervolumens der Versorgungsforschung entsprechen und dementspr</w:t>
      </w:r>
      <w:r w:rsidRPr="00806F21">
        <w:rPr>
          <w:rFonts w:ascii="Trebuchet MS" w:hAnsi="Trebuchet MS" w:cs="Arial"/>
        </w:rPr>
        <w:t>e</w:t>
      </w:r>
      <w:r w:rsidRPr="00806F21">
        <w:rPr>
          <w:rFonts w:ascii="Trebuchet MS" w:hAnsi="Trebuchet MS" w:cs="Arial"/>
        </w:rPr>
        <w:t>chend die Versorgungsforschung unangemessen reduzieren. Andererseits haben Leitlinien direkte Versorgungsrelevanz und Versorgungswirkung in der täglichen Umsetzung. Bei einem erfolgreich abgeschlossenen Leitlinienprojekt werden die Vorgaben direkte Ve</w:t>
      </w:r>
      <w:r w:rsidRPr="00806F21">
        <w:rPr>
          <w:rFonts w:ascii="Trebuchet MS" w:hAnsi="Trebuchet MS" w:cs="Arial"/>
        </w:rPr>
        <w:t>r</w:t>
      </w:r>
      <w:r w:rsidRPr="00806F21">
        <w:rPr>
          <w:rFonts w:ascii="Trebuchet MS" w:hAnsi="Trebuchet MS" w:cs="Arial"/>
        </w:rPr>
        <w:lastRenderedPageBreak/>
        <w:t>sorgungswirkung entfalten können und sind daher aus dem Budget der Neuen Verso</w:t>
      </w:r>
      <w:r w:rsidRPr="00806F21">
        <w:rPr>
          <w:rFonts w:ascii="Trebuchet MS" w:hAnsi="Trebuchet MS" w:cs="Arial"/>
        </w:rPr>
        <w:t>r</w:t>
      </w:r>
      <w:r w:rsidRPr="00806F21">
        <w:rPr>
          <w:rFonts w:ascii="Trebuchet MS" w:hAnsi="Trebuchet MS" w:cs="Arial"/>
        </w:rPr>
        <w:t xml:space="preserve">gungsformen zu entnehmen. </w:t>
      </w:r>
    </w:p>
    <w:p w:rsidR="00B94849" w:rsidRPr="00806F21" w:rsidRDefault="00B94849" w:rsidP="00806F21">
      <w:pPr>
        <w:spacing w:line="360" w:lineRule="auto"/>
        <w:jc w:val="both"/>
        <w:rPr>
          <w:rFonts w:ascii="Trebuchet MS" w:hAnsi="Trebuchet MS" w:cs="Arial"/>
        </w:rPr>
      </w:pPr>
    </w:p>
    <w:p w:rsidR="00B94849" w:rsidRPr="00806F21" w:rsidRDefault="00B94849" w:rsidP="00806F21">
      <w:pPr>
        <w:pStyle w:val="Listenabsatz"/>
        <w:numPr>
          <w:ilvl w:val="0"/>
          <w:numId w:val="17"/>
        </w:numPr>
        <w:spacing w:line="360" w:lineRule="auto"/>
        <w:jc w:val="both"/>
        <w:rPr>
          <w:rFonts w:ascii="Trebuchet MS" w:hAnsi="Trebuchet MS" w:cs="Arial"/>
          <w:bCs/>
        </w:rPr>
      </w:pPr>
      <w:r w:rsidRPr="00806F21">
        <w:rPr>
          <w:rFonts w:ascii="Trebuchet MS" w:hAnsi="Trebuchet MS" w:cs="Arial"/>
          <w:b/>
          <w:bCs/>
        </w:rPr>
        <w:t>Aufteilung der Förderanteile auf 80% Themenspezifisch und 20% Theme</w:t>
      </w:r>
      <w:r w:rsidRPr="00806F21">
        <w:rPr>
          <w:rFonts w:ascii="Trebuchet MS" w:hAnsi="Trebuchet MS" w:cs="Arial"/>
          <w:b/>
          <w:bCs/>
        </w:rPr>
        <w:t>n</w:t>
      </w:r>
      <w:r w:rsidRPr="00806F21">
        <w:rPr>
          <w:rFonts w:ascii="Trebuchet MS" w:hAnsi="Trebuchet MS" w:cs="Arial"/>
          <w:b/>
          <w:bCs/>
        </w:rPr>
        <w:t>offen (Artikel 1 Nr. 11.c)</w:t>
      </w:r>
    </w:p>
    <w:p w:rsidR="00DF2702" w:rsidRPr="00806F21" w:rsidRDefault="00DF2702" w:rsidP="00806F21">
      <w:pPr>
        <w:spacing w:line="360" w:lineRule="auto"/>
        <w:jc w:val="both"/>
        <w:rPr>
          <w:rFonts w:ascii="Trebuchet MS" w:hAnsi="Trebuchet MS" w:cs="Arial"/>
          <w:bCs/>
        </w:rPr>
      </w:pPr>
    </w:p>
    <w:p w:rsidR="00B94849" w:rsidRPr="00806F21" w:rsidRDefault="00B94849" w:rsidP="00806F21">
      <w:pPr>
        <w:spacing w:line="360" w:lineRule="auto"/>
        <w:jc w:val="both"/>
        <w:rPr>
          <w:rFonts w:ascii="Trebuchet MS" w:hAnsi="Trebuchet MS" w:cs="Arial"/>
          <w:bCs/>
        </w:rPr>
      </w:pPr>
      <w:r w:rsidRPr="00806F21">
        <w:rPr>
          <w:rFonts w:ascii="Trebuchet MS" w:hAnsi="Trebuchet MS" w:cs="Arial"/>
          <w:bCs/>
        </w:rPr>
        <w:t>Vor dem Hintergrund der praktischen Erfahrungen der ersten Förderjahre ist die Aufte</w:t>
      </w:r>
      <w:r w:rsidRPr="00806F21">
        <w:rPr>
          <w:rFonts w:ascii="Trebuchet MS" w:hAnsi="Trebuchet MS" w:cs="Arial"/>
          <w:bCs/>
        </w:rPr>
        <w:t>i</w:t>
      </w:r>
      <w:r w:rsidRPr="00806F21">
        <w:rPr>
          <w:rFonts w:ascii="Trebuchet MS" w:hAnsi="Trebuchet MS" w:cs="Arial"/>
          <w:bCs/>
        </w:rPr>
        <w:t>lung im Bereich NVF nicht nachvollziehbar. So hat sich seit Bestehen - in den ersten 4 Jahren des Innovationsfonds - doch gezeigt, dass gerade im Bereich der themenoffenen Ausschreibungen sehr kreative und innovative Projektvorhaben, die zu einer Verbess</w:t>
      </w:r>
      <w:r w:rsidRPr="00806F21">
        <w:rPr>
          <w:rFonts w:ascii="Trebuchet MS" w:hAnsi="Trebuchet MS" w:cs="Arial"/>
          <w:bCs/>
        </w:rPr>
        <w:t>e</w:t>
      </w:r>
      <w:r w:rsidRPr="00806F21">
        <w:rPr>
          <w:rFonts w:ascii="Trebuchet MS" w:hAnsi="Trebuchet MS" w:cs="Arial"/>
          <w:bCs/>
        </w:rPr>
        <w:t>rung der Versorgung von Patienteninnen und Patienten führen, eingereicht und gefördert werden konnten. Diese Flexibilität wäre durch die starren vorgegebenen Kategorien nicht mehr möglich. Gleichzeitig würde es implizieren, dass bei unzureichender Anzahl themenspezifischer Anträge evtl. sehr gute themenoffenen Anträge nicht gefördert we</w:t>
      </w:r>
      <w:r w:rsidRPr="00806F21">
        <w:rPr>
          <w:rFonts w:ascii="Trebuchet MS" w:hAnsi="Trebuchet MS" w:cs="Arial"/>
          <w:bCs/>
        </w:rPr>
        <w:t>r</w:t>
      </w:r>
      <w:r w:rsidRPr="00806F21">
        <w:rPr>
          <w:rFonts w:ascii="Trebuchet MS" w:hAnsi="Trebuchet MS" w:cs="Arial"/>
          <w:bCs/>
        </w:rPr>
        <w:t>den können. Dies beschränkt die Innovationswirkung des Förderinstrumentes und eine Förderung entlang realer Forschungsbedarfe.</w:t>
      </w:r>
    </w:p>
    <w:p w:rsidR="00B94849" w:rsidRPr="00806F21" w:rsidRDefault="00B94849" w:rsidP="00806F21">
      <w:pPr>
        <w:spacing w:line="360" w:lineRule="auto"/>
        <w:jc w:val="both"/>
        <w:rPr>
          <w:rFonts w:ascii="Trebuchet MS" w:hAnsi="Trebuchet MS" w:cs="Arial"/>
          <w:bCs/>
        </w:rPr>
      </w:pPr>
    </w:p>
    <w:p w:rsidR="00DF2702" w:rsidRPr="00806F21" w:rsidRDefault="00B94849" w:rsidP="00806F21">
      <w:pPr>
        <w:pStyle w:val="Listenabsatz"/>
        <w:numPr>
          <w:ilvl w:val="0"/>
          <w:numId w:val="17"/>
        </w:numPr>
        <w:spacing w:line="360" w:lineRule="auto"/>
        <w:jc w:val="both"/>
        <w:rPr>
          <w:rFonts w:ascii="Trebuchet MS" w:hAnsi="Trebuchet MS" w:cs="Arial"/>
        </w:rPr>
      </w:pPr>
      <w:r w:rsidRPr="00806F21">
        <w:rPr>
          <w:rFonts w:ascii="Trebuchet MS" w:hAnsi="Trebuchet MS" w:cs="Arial"/>
          <w:b/>
          <w:bCs/>
        </w:rPr>
        <w:t xml:space="preserve">Begrenzung auf 15 </w:t>
      </w:r>
      <w:r w:rsidR="00DF2702" w:rsidRPr="00806F21">
        <w:rPr>
          <w:rFonts w:ascii="Trebuchet MS" w:hAnsi="Trebuchet MS" w:cs="Arial"/>
          <w:b/>
          <w:bCs/>
        </w:rPr>
        <w:t xml:space="preserve">große Projekte zu neuen Versorgungsformen (NVF) </w:t>
      </w:r>
      <w:r w:rsidRPr="00806F21">
        <w:rPr>
          <w:rFonts w:ascii="Trebuchet MS" w:hAnsi="Trebuchet MS" w:cs="Arial"/>
          <w:b/>
          <w:bCs/>
        </w:rPr>
        <w:t>(A</w:t>
      </w:r>
      <w:r w:rsidRPr="00806F21">
        <w:rPr>
          <w:rFonts w:ascii="Trebuchet MS" w:hAnsi="Trebuchet MS" w:cs="Arial"/>
          <w:b/>
          <w:bCs/>
        </w:rPr>
        <w:t>r</w:t>
      </w:r>
      <w:r w:rsidRPr="00806F21">
        <w:rPr>
          <w:rFonts w:ascii="Trebuchet MS" w:hAnsi="Trebuchet MS" w:cs="Arial"/>
          <w:b/>
          <w:bCs/>
        </w:rPr>
        <w:t>tikel 1 Nr. 11.a)</w:t>
      </w:r>
      <w:r w:rsidR="00DF2702" w:rsidRPr="00806F21">
        <w:rPr>
          <w:rFonts w:ascii="Trebuchet MS" w:hAnsi="Trebuchet MS" w:cs="Arial"/>
        </w:rPr>
        <w:t xml:space="preserve">: </w:t>
      </w:r>
    </w:p>
    <w:p w:rsidR="00DF2702" w:rsidRPr="00806F21" w:rsidRDefault="00DF2702" w:rsidP="00806F21">
      <w:pPr>
        <w:spacing w:line="360" w:lineRule="auto"/>
        <w:jc w:val="both"/>
        <w:rPr>
          <w:rFonts w:ascii="Trebuchet MS" w:hAnsi="Trebuchet MS" w:cs="Arial"/>
        </w:rPr>
      </w:pPr>
    </w:p>
    <w:p w:rsidR="00B94849" w:rsidRPr="00806F21" w:rsidRDefault="00527953" w:rsidP="00806F21">
      <w:pPr>
        <w:spacing w:line="360" w:lineRule="auto"/>
        <w:jc w:val="both"/>
        <w:rPr>
          <w:rFonts w:ascii="Trebuchet MS" w:hAnsi="Trebuchet MS" w:cs="Arial"/>
        </w:rPr>
      </w:pPr>
      <w:r>
        <w:rPr>
          <w:rFonts w:ascii="Trebuchet MS" w:hAnsi="Trebuchet MS" w:cs="Arial"/>
        </w:rPr>
        <w:t>Die BAG SELBSTHILFE lehnt diese Regelung ab und fordert deren Streichung.</w:t>
      </w:r>
      <w:r w:rsidR="00B94849" w:rsidRPr="00806F21">
        <w:rPr>
          <w:rFonts w:ascii="Trebuchet MS" w:hAnsi="Trebuchet MS" w:cs="Arial"/>
        </w:rPr>
        <w:t xml:space="preserve"> Sie wür</w:t>
      </w:r>
      <w:r>
        <w:rPr>
          <w:rFonts w:ascii="Trebuchet MS" w:hAnsi="Trebuchet MS" w:cs="Arial"/>
        </w:rPr>
        <w:t>de zur Folge haben</w:t>
      </w:r>
      <w:r w:rsidR="00B94849" w:rsidRPr="00806F21">
        <w:rPr>
          <w:rFonts w:ascii="Trebuchet MS" w:hAnsi="Trebuchet MS" w:cs="Arial"/>
        </w:rPr>
        <w:t>, dass nur noch extrem große Projekte mit unzähligen Projektpartnern und einer durchschnittlichen Fördersumme von mind. 10 Mio. € gefördert werden kö</w:t>
      </w:r>
      <w:r w:rsidR="00B94849" w:rsidRPr="00806F21">
        <w:rPr>
          <w:rFonts w:ascii="Trebuchet MS" w:hAnsi="Trebuchet MS" w:cs="Arial"/>
        </w:rPr>
        <w:t>n</w:t>
      </w:r>
      <w:r w:rsidR="00B94849" w:rsidRPr="00806F21">
        <w:rPr>
          <w:rFonts w:ascii="Trebuchet MS" w:hAnsi="Trebuchet MS" w:cs="Arial"/>
        </w:rPr>
        <w:t>nen. Dies wird in der Umsetzung zu massiv steigendem administrativem Aufwand (sowohl für die Projekte als auch für den Innovationsausschuss) führen und setzt zudem extreme Fehlanreize für die Kalkulation von NVF-Projekten. Insgesamt erschwert es die Machba</w:t>
      </w:r>
      <w:r w:rsidR="00B94849" w:rsidRPr="00806F21">
        <w:rPr>
          <w:rFonts w:ascii="Trebuchet MS" w:hAnsi="Trebuchet MS" w:cs="Arial"/>
        </w:rPr>
        <w:t>r</w:t>
      </w:r>
      <w:r w:rsidR="00B94849" w:rsidRPr="00806F21">
        <w:rPr>
          <w:rFonts w:ascii="Trebuchet MS" w:hAnsi="Trebuchet MS" w:cs="Arial"/>
        </w:rPr>
        <w:t>keit und Umsetzbarkeit der Projektvorhaben. Weiterhin wäre davon auszugehen, dass es in den kommenden 5 Jahren ausreichend Antragsteller in entsprechenden Größenor</w:t>
      </w:r>
      <w:r w:rsidR="00B94849" w:rsidRPr="00806F21">
        <w:rPr>
          <w:rFonts w:ascii="Trebuchet MS" w:hAnsi="Trebuchet MS" w:cs="Arial"/>
        </w:rPr>
        <w:t>d</w:t>
      </w:r>
      <w:r w:rsidR="00B94849" w:rsidRPr="00806F21">
        <w:rPr>
          <w:rFonts w:ascii="Trebuchet MS" w:hAnsi="Trebuchet MS" w:cs="Arial"/>
        </w:rPr>
        <w:t>nungen gibt, das ist eher unwahrscheinlich. Letztlich würde so die Ideenvielfalt und Kr</w:t>
      </w:r>
      <w:r w:rsidR="00B94849" w:rsidRPr="00806F21">
        <w:rPr>
          <w:rFonts w:ascii="Trebuchet MS" w:hAnsi="Trebuchet MS" w:cs="Arial"/>
        </w:rPr>
        <w:t>e</w:t>
      </w:r>
      <w:r w:rsidR="00B94849" w:rsidRPr="00806F21">
        <w:rPr>
          <w:rFonts w:ascii="Trebuchet MS" w:hAnsi="Trebuchet MS" w:cs="Arial"/>
        </w:rPr>
        <w:t xml:space="preserve">ativität eingeschränkt werden. Es muss unbedingt sichergestellt werden, dass auch im Bereich der Neuen Versorgungsformen kleinere, innovative Projekte oder Projekte mit kleinerer Patientenzahl - z. B. im Bereich der seltenen Erkrankungen -gefördert werden können. </w:t>
      </w:r>
    </w:p>
    <w:p w:rsidR="00B94849" w:rsidRPr="00806F21" w:rsidRDefault="00B94849" w:rsidP="00806F21">
      <w:pPr>
        <w:spacing w:line="360" w:lineRule="auto"/>
        <w:jc w:val="both"/>
        <w:rPr>
          <w:rFonts w:ascii="Trebuchet MS" w:hAnsi="Trebuchet MS" w:cs="Arial"/>
        </w:rPr>
      </w:pPr>
    </w:p>
    <w:p w:rsidR="00DF2702" w:rsidRPr="00806F21" w:rsidRDefault="00B94849" w:rsidP="00806F21">
      <w:pPr>
        <w:pStyle w:val="Listenabsatz"/>
        <w:numPr>
          <w:ilvl w:val="0"/>
          <w:numId w:val="17"/>
        </w:numPr>
        <w:spacing w:line="360" w:lineRule="auto"/>
        <w:jc w:val="both"/>
        <w:rPr>
          <w:rFonts w:ascii="Trebuchet MS" w:hAnsi="Trebuchet MS" w:cs="Arial"/>
          <w:b/>
          <w:bCs/>
        </w:rPr>
      </w:pPr>
      <w:r w:rsidRPr="00806F21">
        <w:rPr>
          <w:rFonts w:ascii="Trebuchet MS" w:hAnsi="Trebuchet MS" w:cs="Arial"/>
          <w:b/>
          <w:bCs/>
        </w:rPr>
        <w:lastRenderedPageBreak/>
        <w:t>Verschiebung des Evaluatio</w:t>
      </w:r>
      <w:r w:rsidR="00DF2702" w:rsidRPr="00806F21">
        <w:rPr>
          <w:rFonts w:ascii="Trebuchet MS" w:hAnsi="Trebuchet MS" w:cs="Arial"/>
          <w:b/>
          <w:bCs/>
        </w:rPr>
        <w:t>nsberichts (Artikel 1 Nr. 11.d)</w:t>
      </w:r>
    </w:p>
    <w:p w:rsidR="00DF2702" w:rsidRPr="00806F21" w:rsidRDefault="00DF2702" w:rsidP="00806F21">
      <w:pPr>
        <w:spacing w:line="360" w:lineRule="auto"/>
        <w:jc w:val="both"/>
        <w:rPr>
          <w:rFonts w:ascii="Trebuchet MS" w:hAnsi="Trebuchet MS" w:cs="Arial"/>
          <w:b/>
          <w:bCs/>
          <w:u w:val="single"/>
        </w:rPr>
      </w:pPr>
    </w:p>
    <w:p w:rsidR="00B94849" w:rsidRPr="00806F21" w:rsidRDefault="00DF2702" w:rsidP="00806F21">
      <w:pPr>
        <w:spacing w:line="360" w:lineRule="auto"/>
        <w:jc w:val="both"/>
        <w:rPr>
          <w:rFonts w:ascii="Trebuchet MS" w:hAnsi="Trebuchet MS" w:cs="Arial"/>
        </w:rPr>
      </w:pPr>
      <w:r w:rsidRPr="00806F21">
        <w:rPr>
          <w:rFonts w:ascii="Trebuchet MS" w:hAnsi="Trebuchet MS" w:cs="Arial"/>
          <w:bCs/>
        </w:rPr>
        <w:t xml:space="preserve">Eine Verschiebung des Evaluationsberichtes </w:t>
      </w:r>
      <w:r w:rsidR="00B94849" w:rsidRPr="00806F21">
        <w:rPr>
          <w:rFonts w:ascii="Trebuchet MS" w:hAnsi="Trebuchet MS" w:cs="Arial"/>
          <w:bCs/>
        </w:rPr>
        <w:t>ist</w:t>
      </w:r>
      <w:r w:rsidR="00B94849" w:rsidRPr="00806F21">
        <w:rPr>
          <w:rFonts w:ascii="Trebuchet MS" w:hAnsi="Trebuchet MS" w:cs="Arial"/>
        </w:rPr>
        <w:t xml:space="preserve"> grundsätzlich zu begrüßen, wenngleich Ende 2022 zunächst lediglich bedingt aussagekräftige Ergebnisse in entsprechender Zahl vorliegen werden. Hier wäre – nicht zuletzt vor dem Hintergrund der ggf. durch das Pa</w:t>
      </w:r>
      <w:r w:rsidR="00B94849" w:rsidRPr="00806F21">
        <w:rPr>
          <w:rFonts w:ascii="Trebuchet MS" w:hAnsi="Trebuchet MS" w:cs="Arial"/>
        </w:rPr>
        <w:t>r</w:t>
      </w:r>
      <w:r w:rsidR="00B94849" w:rsidRPr="00806F21">
        <w:rPr>
          <w:rFonts w:ascii="Trebuchet MS" w:hAnsi="Trebuchet MS" w:cs="Arial"/>
        </w:rPr>
        <w:t>lament zu beschließenden Weiterführung über 2024 hinaus - auch eine Verschiebung der Evaluation auf Mitte 2023 möglich. Somit stünde mehr Zeit für die Evaluation zur Verf</w:t>
      </w:r>
      <w:r w:rsidR="00B94849" w:rsidRPr="00806F21">
        <w:rPr>
          <w:rFonts w:ascii="Trebuchet MS" w:hAnsi="Trebuchet MS" w:cs="Arial"/>
        </w:rPr>
        <w:t>ü</w:t>
      </w:r>
      <w:r w:rsidR="00B94849" w:rsidRPr="00806F21">
        <w:rPr>
          <w:rFonts w:ascii="Trebuchet MS" w:hAnsi="Trebuchet MS" w:cs="Arial"/>
        </w:rPr>
        <w:t>gung und es lägen mehr Projektergebnisberichte vor. Darüber hinaus bliebe dem Geset</w:t>
      </w:r>
      <w:r w:rsidR="00B94849" w:rsidRPr="00806F21">
        <w:rPr>
          <w:rFonts w:ascii="Trebuchet MS" w:hAnsi="Trebuchet MS" w:cs="Arial"/>
        </w:rPr>
        <w:t>z</w:t>
      </w:r>
      <w:r w:rsidR="00B94849" w:rsidRPr="00806F21">
        <w:rPr>
          <w:rFonts w:ascii="Trebuchet MS" w:hAnsi="Trebuchet MS" w:cs="Arial"/>
        </w:rPr>
        <w:t>geber genügend Zeit, gesetzliche Rahmenbedingungen für die Weiterführung über das Jahr 2024 hinaus zu schaffen.</w:t>
      </w:r>
    </w:p>
    <w:p w:rsidR="00B94849" w:rsidRPr="00806F21" w:rsidRDefault="00B94849" w:rsidP="00806F21">
      <w:pPr>
        <w:spacing w:line="360" w:lineRule="auto"/>
        <w:jc w:val="both"/>
        <w:rPr>
          <w:rFonts w:ascii="Trebuchet MS" w:hAnsi="Trebuchet MS" w:cs="Arial"/>
          <w:color w:val="376092"/>
        </w:rPr>
      </w:pPr>
    </w:p>
    <w:p w:rsidR="00DF2702" w:rsidRPr="00806F21" w:rsidRDefault="00B94849" w:rsidP="00806F21">
      <w:pPr>
        <w:pStyle w:val="Listenabsatz"/>
        <w:numPr>
          <w:ilvl w:val="0"/>
          <w:numId w:val="17"/>
        </w:numPr>
        <w:spacing w:line="360" w:lineRule="auto"/>
        <w:jc w:val="both"/>
        <w:rPr>
          <w:rFonts w:ascii="Trebuchet MS" w:hAnsi="Trebuchet MS" w:cs="Arial"/>
        </w:rPr>
      </w:pPr>
      <w:r w:rsidRPr="00806F21">
        <w:rPr>
          <w:rFonts w:ascii="Trebuchet MS" w:hAnsi="Trebuchet MS" w:cs="Arial"/>
          <w:b/>
          <w:bCs/>
        </w:rPr>
        <w:t>Patientenbeteiligung</w:t>
      </w:r>
    </w:p>
    <w:p w:rsidR="00DF2702" w:rsidRPr="00806F21" w:rsidRDefault="00DF2702" w:rsidP="00806F21">
      <w:pPr>
        <w:spacing w:line="360" w:lineRule="auto"/>
        <w:jc w:val="both"/>
        <w:rPr>
          <w:rFonts w:ascii="Trebuchet MS" w:hAnsi="Trebuchet MS" w:cs="Arial"/>
        </w:rPr>
      </w:pPr>
    </w:p>
    <w:p w:rsidR="00B94849" w:rsidRPr="00806F21" w:rsidRDefault="00DF2702" w:rsidP="00806F21">
      <w:pPr>
        <w:spacing w:line="360" w:lineRule="auto"/>
        <w:jc w:val="both"/>
        <w:rPr>
          <w:rFonts w:ascii="Trebuchet MS" w:hAnsi="Trebuchet MS" w:cs="Arial"/>
        </w:rPr>
      </w:pPr>
      <w:r w:rsidRPr="00806F21">
        <w:rPr>
          <w:rFonts w:ascii="Trebuchet MS" w:hAnsi="Trebuchet MS" w:cs="Arial"/>
        </w:rPr>
        <w:t xml:space="preserve">Aus der Sicht der BAG SELBSTHILFE vernachlässigt der Gesetzentwurf </w:t>
      </w:r>
      <w:r w:rsidR="00B94849" w:rsidRPr="00806F21">
        <w:rPr>
          <w:rFonts w:ascii="Trebuchet MS" w:hAnsi="Trebuchet MS" w:cs="Arial"/>
        </w:rPr>
        <w:t>die dringend no</w:t>
      </w:r>
      <w:r w:rsidR="00B94849" w:rsidRPr="00806F21">
        <w:rPr>
          <w:rFonts w:ascii="Trebuchet MS" w:hAnsi="Trebuchet MS" w:cs="Arial"/>
        </w:rPr>
        <w:t>t</w:t>
      </w:r>
      <w:r w:rsidR="00B94849" w:rsidRPr="00806F21">
        <w:rPr>
          <w:rFonts w:ascii="Trebuchet MS" w:hAnsi="Trebuchet MS" w:cs="Arial"/>
        </w:rPr>
        <w:t xml:space="preserve">wendige und auch im </w:t>
      </w:r>
      <w:proofErr w:type="spellStart"/>
      <w:r w:rsidR="00B94849" w:rsidRPr="00806F21">
        <w:rPr>
          <w:rFonts w:ascii="Trebuchet MS" w:hAnsi="Trebuchet MS" w:cs="Arial"/>
        </w:rPr>
        <w:t>Prognos</w:t>
      </w:r>
      <w:proofErr w:type="spellEnd"/>
      <w:r w:rsidR="00B94849" w:rsidRPr="00806F21">
        <w:rPr>
          <w:rFonts w:ascii="Trebuchet MS" w:hAnsi="Trebuchet MS" w:cs="Arial"/>
        </w:rPr>
        <w:t>-Gutachten angeratene Stärkung der Patientenbeteiligung. So heißt es dort</w:t>
      </w:r>
      <w:r w:rsidR="00B94849" w:rsidRPr="00806F21">
        <w:rPr>
          <w:rFonts w:ascii="Trebuchet MS" w:hAnsi="Trebuchet MS" w:cs="Arial"/>
          <w:vertAlign w:val="superscript"/>
        </w:rPr>
        <w:t>1</w:t>
      </w:r>
      <w:r w:rsidR="00B94849" w:rsidRPr="00806F21">
        <w:rPr>
          <w:rFonts w:ascii="Trebuchet MS" w:hAnsi="Trebuchet MS" w:cs="Arial"/>
        </w:rPr>
        <w:t xml:space="preserve"> z. B.</w:t>
      </w:r>
    </w:p>
    <w:p w:rsidR="00B94849" w:rsidRPr="00806F21" w:rsidRDefault="00B94849" w:rsidP="00806F21">
      <w:pPr>
        <w:pStyle w:val="Listenabsatz"/>
        <w:numPr>
          <w:ilvl w:val="0"/>
          <w:numId w:val="8"/>
        </w:numPr>
        <w:spacing w:after="200" w:line="360" w:lineRule="auto"/>
        <w:jc w:val="both"/>
        <w:rPr>
          <w:rFonts w:ascii="Trebuchet MS" w:hAnsi="Trebuchet MS" w:cs="Arial"/>
          <w:i/>
        </w:rPr>
      </w:pPr>
      <w:r w:rsidRPr="00806F21">
        <w:rPr>
          <w:rFonts w:ascii="Trebuchet MS" w:hAnsi="Trebuchet MS" w:cs="Arial"/>
          <w:i/>
        </w:rPr>
        <w:t>Im Rahmen der Befragung von weiteren Akteuren des Gesundheitswesens und der versorgungsbezogenen Wissenschaft (Stakeholder-Befragung) wird angeregt, bei der Themen- und Projektauswahl zu bestimmten Erkrankungen auf diese Erkra</w:t>
      </w:r>
      <w:r w:rsidRPr="00806F21">
        <w:rPr>
          <w:rFonts w:ascii="Trebuchet MS" w:hAnsi="Trebuchet MS" w:cs="Arial"/>
          <w:i/>
        </w:rPr>
        <w:t>n</w:t>
      </w:r>
      <w:r w:rsidRPr="00806F21">
        <w:rPr>
          <w:rFonts w:ascii="Trebuchet MS" w:hAnsi="Trebuchet MS" w:cs="Arial"/>
          <w:i/>
        </w:rPr>
        <w:t>kungen spezialisierte Patientenvertretungen stärker einzubinden. (Astor, M. et al. (2019) S. 33)</w:t>
      </w:r>
    </w:p>
    <w:p w:rsidR="00B94849" w:rsidRPr="00806F21" w:rsidRDefault="00B94849" w:rsidP="00806F21">
      <w:pPr>
        <w:pStyle w:val="Listenabsatz"/>
        <w:numPr>
          <w:ilvl w:val="0"/>
          <w:numId w:val="8"/>
        </w:numPr>
        <w:spacing w:after="200" w:line="360" w:lineRule="auto"/>
        <w:jc w:val="both"/>
        <w:rPr>
          <w:rFonts w:ascii="Trebuchet MS" w:hAnsi="Trebuchet MS" w:cs="Arial"/>
          <w:i/>
        </w:rPr>
      </w:pPr>
      <w:r w:rsidRPr="00806F21">
        <w:rPr>
          <w:rFonts w:ascii="Trebuchet MS" w:hAnsi="Trebuchet MS" w:cs="Arial"/>
          <w:i/>
        </w:rPr>
        <w:t>Die Einbindung der Patientenperspektive im Sinne der Einbettung von Patiente</w:t>
      </w:r>
      <w:r w:rsidRPr="00806F21">
        <w:rPr>
          <w:rFonts w:ascii="Trebuchet MS" w:hAnsi="Trebuchet MS" w:cs="Arial"/>
          <w:i/>
        </w:rPr>
        <w:t>n</w:t>
      </w:r>
      <w:r w:rsidRPr="00806F21">
        <w:rPr>
          <w:rFonts w:ascii="Trebuchet MS" w:hAnsi="Trebuchet MS" w:cs="Arial"/>
          <w:i/>
        </w:rPr>
        <w:t>organisationen in die Entwicklung bzw. Durchführung der Projekte hat in den a</w:t>
      </w:r>
      <w:r w:rsidRPr="00806F21">
        <w:rPr>
          <w:rFonts w:ascii="Trebuchet MS" w:hAnsi="Trebuchet MS" w:cs="Arial"/>
          <w:i/>
        </w:rPr>
        <w:t>l</w:t>
      </w:r>
      <w:r w:rsidRPr="00806F21">
        <w:rPr>
          <w:rFonts w:ascii="Trebuchet MS" w:hAnsi="Trebuchet MS" w:cs="Arial"/>
          <w:i/>
        </w:rPr>
        <w:t>lermeisten Projekten einen eher geringen Stellenwert. Positiv zu bewerten ist, dass patientenrelevante Endpunkte in der Regel sowohl in den Zielsetzungen der Projekte als auch bei deren Evaluation berücksichtigt werden. Allerdings sind P</w:t>
      </w:r>
      <w:r w:rsidRPr="00806F21">
        <w:rPr>
          <w:rFonts w:ascii="Trebuchet MS" w:hAnsi="Trebuchet MS" w:cs="Arial"/>
          <w:i/>
        </w:rPr>
        <w:t>a</w:t>
      </w:r>
      <w:r w:rsidRPr="00806F21">
        <w:rPr>
          <w:rFonts w:ascii="Trebuchet MS" w:hAnsi="Trebuchet MS" w:cs="Arial"/>
          <w:i/>
        </w:rPr>
        <w:t>tientenorganisationen oder -vertretungen nur in Einzelfällen an den Projektko</w:t>
      </w:r>
      <w:r w:rsidRPr="00806F21">
        <w:rPr>
          <w:rFonts w:ascii="Trebuchet MS" w:hAnsi="Trebuchet MS" w:cs="Arial"/>
          <w:i/>
        </w:rPr>
        <w:t>n</w:t>
      </w:r>
      <w:r w:rsidRPr="00806F21">
        <w:rPr>
          <w:rFonts w:ascii="Trebuchet MS" w:hAnsi="Trebuchet MS" w:cs="Arial"/>
          <w:i/>
        </w:rPr>
        <w:t>sortien beteiligt. Aus diesen Gründen ist eine stärkere Berücksichtigung dieser Organisationen innerhalb der Projekte zu empfehlen.</w:t>
      </w:r>
    </w:p>
    <w:p w:rsidR="00B94849" w:rsidRPr="00806F21" w:rsidRDefault="00B94849" w:rsidP="00806F21">
      <w:pPr>
        <w:pStyle w:val="Listenabsatz"/>
        <w:spacing w:line="360" w:lineRule="auto"/>
        <w:jc w:val="both"/>
        <w:rPr>
          <w:rFonts w:ascii="Trebuchet MS" w:hAnsi="Trebuchet MS" w:cs="Arial"/>
          <w:i/>
        </w:rPr>
      </w:pPr>
      <w:r w:rsidRPr="00806F21">
        <w:rPr>
          <w:rFonts w:ascii="Trebuchet MS" w:hAnsi="Trebuchet MS" w:cs="Arial"/>
          <w:i/>
        </w:rPr>
        <w:t>Die Antragsteller sollten künftig darstellen, welche Patientengruppen sie in we</w:t>
      </w:r>
      <w:r w:rsidRPr="00806F21">
        <w:rPr>
          <w:rFonts w:ascii="Trebuchet MS" w:hAnsi="Trebuchet MS" w:cs="Arial"/>
          <w:i/>
        </w:rPr>
        <w:t>l</w:t>
      </w:r>
      <w:r w:rsidRPr="00806F21">
        <w:rPr>
          <w:rFonts w:ascii="Trebuchet MS" w:hAnsi="Trebuchet MS" w:cs="Arial"/>
          <w:i/>
        </w:rPr>
        <w:t>chem Umfang über welche Instrumente in den Projekten einbinden. Zusätzlich sollte die Beteiligung von Patientenorganisationen innerhalb der Konsortien oder auch als Kooperationspartner bei der Förderung besonders berücksichtigt oder im Einzelfall als Bedingung formuliert werden. (Astor, M. et al. (2019) S.124)</w:t>
      </w:r>
    </w:p>
    <w:p w:rsidR="00DF2702" w:rsidRPr="00806F21" w:rsidRDefault="00DF2702" w:rsidP="00806F21">
      <w:pPr>
        <w:spacing w:line="360" w:lineRule="auto"/>
        <w:jc w:val="both"/>
        <w:rPr>
          <w:rFonts w:ascii="Trebuchet MS" w:hAnsi="Trebuchet MS" w:cs="Arial"/>
        </w:rPr>
      </w:pPr>
    </w:p>
    <w:p w:rsidR="00B94849" w:rsidRPr="00806F21" w:rsidRDefault="00B94849" w:rsidP="00806F21">
      <w:pPr>
        <w:spacing w:line="360" w:lineRule="auto"/>
        <w:jc w:val="both"/>
        <w:rPr>
          <w:rFonts w:ascii="Trebuchet MS" w:hAnsi="Trebuchet MS" w:cs="Arial"/>
        </w:rPr>
      </w:pPr>
      <w:r w:rsidRPr="00806F21">
        <w:rPr>
          <w:rFonts w:ascii="Trebuchet MS" w:hAnsi="Trebuchet MS" w:cs="Arial"/>
        </w:rPr>
        <w:t>Zu den bereits genannten Maßnahmen der verpflichtenden Beratung der Projekte und auch der Patientenorganisationen in der Konzeptionsphase sowie der Umsetzung zur P</w:t>
      </w:r>
      <w:r w:rsidRPr="00806F21">
        <w:rPr>
          <w:rFonts w:ascii="Trebuchet MS" w:hAnsi="Trebuchet MS" w:cs="Arial"/>
        </w:rPr>
        <w:t>a</w:t>
      </w:r>
      <w:r w:rsidRPr="00806F21">
        <w:rPr>
          <w:rFonts w:ascii="Trebuchet MS" w:hAnsi="Trebuchet MS" w:cs="Arial"/>
        </w:rPr>
        <w:t>tientenbeteiligung wäre überdies eine Begründungspflicht der Antragssteller aufzune</w:t>
      </w:r>
      <w:r w:rsidRPr="00806F21">
        <w:rPr>
          <w:rFonts w:ascii="Trebuchet MS" w:hAnsi="Trebuchet MS" w:cs="Arial"/>
        </w:rPr>
        <w:t>h</w:t>
      </w:r>
      <w:r w:rsidRPr="00806F21">
        <w:rPr>
          <w:rFonts w:ascii="Trebuchet MS" w:hAnsi="Trebuchet MS" w:cs="Arial"/>
        </w:rPr>
        <w:t>men, wenn Sie bei der Konzeption und Durchführung ihrer Vorhaben keine Patienteno</w:t>
      </w:r>
      <w:r w:rsidRPr="00806F21">
        <w:rPr>
          <w:rFonts w:ascii="Trebuchet MS" w:hAnsi="Trebuchet MS" w:cs="Arial"/>
        </w:rPr>
        <w:t>r</w:t>
      </w:r>
      <w:r w:rsidRPr="00806F21">
        <w:rPr>
          <w:rFonts w:ascii="Trebuchet MS" w:hAnsi="Trebuchet MS" w:cs="Arial"/>
        </w:rPr>
        <w:t>ganisationen oder der Selbsthilfe-Organisationen beteiligen. Diese Regelung wird im B</w:t>
      </w:r>
      <w:r w:rsidRPr="00806F21">
        <w:rPr>
          <w:rFonts w:ascii="Trebuchet MS" w:hAnsi="Trebuchet MS" w:cs="Arial"/>
        </w:rPr>
        <w:t>e</w:t>
      </w:r>
      <w:r w:rsidRPr="00806F21">
        <w:rPr>
          <w:rFonts w:ascii="Trebuchet MS" w:hAnsi="Trebuchet MS" w:cs="Arial"/>
        </w:rPr>
        <w:t>reich der neuen Versorgungsformen bereits erfolgreich für die Beteiligung der Kranke</w:t>
      </w:r>
      <w:r w:rsidRPr="00806F21">
        <w:rPr>
          <w:rFonts w:ascii="Trebuchet MS" w:hAnsi="Trebuchet MS" w:cs="Arial"/>
        </w:rPr>
        <w:t>n</w:t>
      </w:r>
      <w:r w:rsidRPr="00806F21">
        <w:rPr>
          <w:rFonts w:ascii="Trebuchet MS" w:hAnsi="Trebuchet MS" w:cs="Arial"/>
        </w:rPr>
        <w:t>kasse umgesetzt und wäre durch eine einfache Ergänzung im Gesetzestext “in der Regel sind Krankenkassen und Patientenorganisationen zu beteiligen“ möglich.</w:t>
      </w:r>
    </w:p>
    <w:p w:rsidR="00B94849" w:rsidRPr="00806F21" w:rsidRDefault="00B94849" w:rsidP="00806F21">
      <w:pPr>
        <w:spacing w:line="360" w:lineRule="auto"/>
        <w:jc w:val="both"/>
        <w:rPr>
          <w:rFonts w:ascii="Trebuchet MS" w:hAnsi="Trebuchet MS" w:cs="Arial"/>
        </w:rPr>
      </w:pPr>
    </w:p>
    <w:p w:rsidR="0091530E" w:rsidRPr="00806F21" w:rsidRDefault="0091530E" w:rsidP="00806F21">
      <w:pPr>
        <w:spacing w:line="360" w:lineRule="auto"/>
        <w:rPr>
          <w:rFonts w:ascii="Trebuchet MS" w:hAnsi="Trebuchet MS"/>
        </w:rPr>
      </w:pPr>
      <w:r w:rsidRPr="00806F21">
        <w:rPr>
          <w:rFonts w:ascii="Trebuchet MS" w:hAnsi="Trebuchet MS"/>
        </w:rPr>
        <w:t>Ferner sollte das Mitberatungsrecht der Patientenvertretung dahingehend gestärkt we</w:t>
      </w:r>
      <w:r w:rsidRPr="00806F21">
        <w:rPr>
          <w:rFonts w:ascii="Trebuchet MS" w:hAnsi="Trebuchet MS"/>
        </w:rPr>
        <w:t>r</w:t>
      </w:r>
      <w:r w:rsidRPr="00806F21">
        <w:rPr>
          <w:rFonts w:ascii="Trebuchet MS" w:hAnsi="Trebuchet MS"/>
        </w:rPr>
        <w:t>den, dass immer dann, wenn den Patientenvoten nicht gefolgt wird, dies zu begründen ist.</w:t>
      </w:r>
    </w:p>
    <w:p w:rsidR="0091530E" w:rsidRPr="00806F21" w:rsidRDefault="0091530E" w:rsidP="00806F21">
      <w:pPr>
        <w:spacing w:line="360" w:lineRule="auto"/>
        <w:jc w:val="both"/>
        <w:rPr>
          <w:rFonts w:ascii="Trebuchet MS" w:hAnsi="Trebuchet MS" w:cs="Arial"/>
        </w:rPr>
      </w:pPr>
    </w:p>
    <w:p w:rsidR="00B94849" w:rsidRPr="00806F21" w:rsidRDefault="00B94849" w:rsidP="00806F21">
      <w:pPr>
        <w:pStyle w:val="Listenabsatz"/>
        <w:numPr>
          <w:ilvl w:val="0"/>
          <w:numId w:val="17"/>
        </w:numPr>
        <w:spacing w:line="360" w:lineRule="auto"/>
        <w:jc w:val="both"/>
        <w:rPr>
          <w:rFonts w:ascii="Trebuchet MS" w:hAnsi="Trebuchet MS" w:cs="Arial"/>
          <w:b/>
        </w:rPr>
      </w:pPr>
      <w:r w:rsidRPr="00806F21">
        <w:rPr>
          <w:rFonts w:ascii="Trebuchet MS" w:hAnsi="Trebuchet MS" w:cs="Arial"/>
          <w:b/>
        </w:rPr>
        <w:t>Fachliche Unabhängigkeit der Stabsstelle Patientenbeteiligung im Innovat</w:t>
      </w:r>
      <w:r w:rsidRPr="00806F21">
        <w:rPr>
          <w:rFonts w:ascii="Trebuchet MS" w:hAnsi="Trebuchet MS" w:cs="Arial"/>
          <w:b/>
        </w:rPr>
        <w:t>i</w:t>
      </w:r>
      <w:r w:rsidRPr="00806F21">
        <w:rPr>
          <w:rFonts w:ascii="Trebuchet MS" w:hAnsi="Trebuchet MS" w:cs="Arial"/>
          <w:b/>
        </w:rPr>
        <w:t>onsausschuss</w:t>
      </w:r>
      <w:r w:rsidR="00806F21">
        <w:rPr>
          <w:rFonts w:ascii="Trebuchet MS" w:hAnsi="Trebuchet MS" w:cs="Arial"/>
          <w:b/>
        </w:rPr>
        <w:t>- Ergänzung des § 92a Abs. 5 SGB V</w:t>
      </w:r>
    </w:p>
    <w:p w:rsidR="00806F21" w:rsidRDefault="00806F21" w:rsidP="00806F21">
      <w:pPr>
        <w:spacing w:line="360" w:lineRule="auto"/>
        <w:rPr>
          <w:rFonts w:ascii="Trebuchet MS" w:hAnsi="Trebuchet MS"/>
        </w:rPr>
      </w:pPr>
    </w:p>
    <w:p w:rsidR="00B94849" w:rsidRPr="00806F21" w:rsidRDefault="00B94849" w:rsidP="00806F21">
      <w:pPr>
        <w:spacing w:line="360" w:lineRule="auto"/>
        <w:rPr>
          <w:rFonts w:ascii="Trebuchet MS" w:hAnsi="Trebuchet MS"/>
        </w:rPr>
      </w:pPr>
      <w:r w:rsidRPr="00806F21">
        <w:rPr>
          <w:rFonts w:ascii="Trebuchet MS" w:hAnsi="Trebuchet MS"/>
        </w:rPr>
        <w:t>Die BAG SELBSTHILFE hält das vorgesehene Weisungsrecht des Vorsitzenden gegenüber der Geschäftsstelle des Innovationsausschusses grundsätzlich für sinnvoll. Allerdings sol</w:t>
      </w:r>
      <w:r w:rsidRPr="00806F21">
        <w:rPr>
          <w:rFonts w:ascii="Trebuchet MS" w:hAnsi="Trebuchet MS"/>
        </w:rPr>
        <w:t>l</w:t>
      </w:r>
      <w:r w:rsidRPr="00806F21">
        <w:rPr>
          <w:rFonts w:ascii="Trebuchet MS" w:hAnsi="Trebuchet MS"/>
        </w:rPr>
        <w:t>te hier eine Ausnahme für die Stabsstelle der Patientenvertretung geschaffen werden, die unabhängig vom Vorsitzenden als Unterstützungsstelle für die Patientenvertretung festgeschrieben werden sollte. Auch im Gemeinsamen Bundesausschuss ist es so, dass die dortige Stabsstelle der einzige Teil der Geschäftsstelle des GBA ist, der parteilich für die Patientenvertretung arbeiten darf; alle anderen Teile der Gesc</w:t>
      </w:r>
      <w:r w:rsidR="00527953">
        <w:rPr>
          <w:rFonts w:ascii="Trebuchet MS" w:hAnsi="Trebuchet MS"/>
        </w:rPr>
        <w:t>häftsstelle sind zur Neutralität</w:t>
      </w:r>
      <w:r w:rsidRPr="00806F21">
        <w:rPr>
          <w:rFonts w:ascii="Trebuchet MS" w:hAnsi="Trebuchet MS"/>
        </w:rPr>
        <w:t xml:space="preserve"> verpflichtet.</w:t>
      </w:r>
    </w:p>
    <w:p w:rsidR="00B94849" w:rsidRPr="00806F21" w:rsidRDefault="00B94849" w:rsidP="00806F21">
      <w:pPr>
        <w:spacing w:line="360" w:lineRule="auto"/>
        <w:jc w:val="both"/>
        <w:rPr>
          <w:rFonts w:ascii="Trebuchet MS" w:hAnsi="Trebuchet MS" w:cs="Arial"/>
          <w:b/>
          <w:bCs/>
          <w:u w:val="single"/>
        </w:rPr>
      </w:pPr>
    </w:p>
    <w:p w:rsidR="00B94849" w:rsidRPr="004E5E3D" w:rsidRDefault="003B6293" w:rsidP="00806F21">
      <w:pPr>
        <w:pStyle w:val="Listenabsatz"/>
        <w:numPr>
          <w:ilvl w:val="0"/>
          <w:numId w:val="17"/>
        </w:numPr>
        <w:spacing w:line="360" w:lineRule="auto"/>
        <w:jc w:val="both"/>
        <w:rPr>
          <w:rFonts w:ascii="Trebuchet MS" w:hAnsi="Trebuchet MS" w:cs="Arial"/>
        </w:rPr>
      </w:pPr>
      <w:r w:rsidRPr="004E5E3D">
        <w:rPr>
          <w:rFonts w:ascii="Trebuchet MS" w:hAnsi="Trebuchet MS" w:cs="Arial"/>
          <w:b/>
          <w:bCs/>
        </w:rPr>
        <w:t xml:space="preserve">Wegfall </w:t>
      </w:r>
      <w:r w:rsidR="00B94849" w:rsidRPr="004E5E3D">
        <w:rPr>
          <w:rFonts w:ascii="Trebuchet MS" w:hAnsi="Trebuchet MS" w:cs="Arial"/>
          <w:b/>
          <w:bCs/>
        </w:rPr>
        <w:t xml:space="preserve">der Evaluation von Selektivverträgen nach §140 (Artikel 1 Nr. 11. b) </w:t>
      </w:r>
      <w:proofErr w:type="spellStart"/>
      <w:r w:rsidR="00B94849" w:rsidRPr="004E5E3D">
        <w:rPr>
          <w:rFonts w:ascii="Trebuchet MS" w:hAnsi="Trebuchet MS" w:cs="Arial"/>
          <w:b/>
          <w:bCs/>
        </w:rPr>
        <w:t>aa</w:t>
      </w:r>
      <w:proofErr w:type="spellEnd"/>
      <w:r w:rsidR="00B94849" w:rsidRPr="004E5E3D">
        <w:rPr>
          <w:rFonts w:ascii="Trebuchet MS" w:hAnsi="Trebuchet MS" w:cs="Arial"/>
          <w:b/>
          <w:bCs/>
        </w:rPr>
        <w:t>)</w:t>
      </w:r>
      <w:r w:rsidR="00B94849" w:rsidRPr="004E5E3D">
        <w:rPr>
          <w:rFonts w:ascii="Trebuchet MS" w:hAnsi="Trebuchet MS" w:cs="Arial"/>
          <w:b/>
        </w:rPr>
        <w:t>:</w:t>
      </w:r>
      <w:r w:rsidR="00B94849" w:rsidRPr="004E5E3D">
        <w:rPr>
          <w:rFonts w:ascii="Trebuchet MS" w:hAnsi="Trebuchet MS" w:cs="Arial"/>
        </w:rPr>
        <w:t xml:space="preserve"> </w:t>
      </w:r>
    </w:p>
    <w:p w:rsidR="00527953" w:rsidRDefault="00527953" w:rsidP="00806F21">
      <w:pPr>
        <w:spacing w:line="360" w:lineRule="auto"/>
        <w:jc w:val="both"/>
        <w:rPr>
          <w:rFonts w:ascii="Trebuchet MS" w:hAnsi="Trebuchet MS" w:cs="Arial"/>
        </w:rPr>
      </w:pPr>
    </w:p>
    <w:p w:rsidR="00B94849" w:rsidRPr="00806F21" w:rsidRDefault="00B94849" w:rsidP="00806F21">
      <w:pPr>
        <w:spacing w:line="360" w:lineRule="auto"/>
        <w:jc w:val="both"/>
        <w:rPr>
          <w:rFonts w:ascii="Trebuchet MS" w:hAnsi="Trebuchet MS" w:cs="Arial"/>
        </w:rPr>
      </w:pPr>
      <w:r w:rsidRPr="00806F21">
        <w:rPr>
          <w:rFonts w:ascii="Trebuchet MS" w:hAnsi="Trebuchet MS" w:cs="Arial"/>
        </w:rPr>
        <w:t xml:space="preserve">Die Streichung der Evaluation von Selektivverträgen nach §140a (Nr. 11.b) </w:t>
      </w:r>
      <w:proofErr w:type="spellStart"/>
      <w:r w:rsidRPr="00806F21">
        <w:rPr>
          <w:rFonts w:ascii="Trebuchet MS" w:hAnsi="Trebuchet MS" w:cs="Arial"/>
        </w:rPr>
        <w:t>aa</w:t>
      </w:r>
      <w:proofErr w:type="spellEnd"/>
      <w:r w:rsidRPr="00806F21">
        <w:rPr>
          <w:rFonts w:ascii="Trebuchet MS" w:hAnsi="Trebuchet MS" w:cs="Arial"/>
        </w:rPr>
        <w:t>)) ist</w:t>
      </w:r>
      <w:r w:rsidR="00527953">
        <w:rPr>
          <w:rFonts w:ascii="Trebuchet MS" w:hAnsi="Trebuchet MS" w:cs="Arial"/>
        </w:rPr>
        <w:t xml:space="preserve"> aus der Sicht der BAG SELBSTHILFE</w:t>
      </w:r>
      <w:r w:rsidRPr="00806F21">
        <w:rPr>
          <w:rFonts w:ascii="Trebuchet MS" w:hAnsi="Trebuchet MS" w:cs="Arial"/>
        </w:rPr>
        <w:t xml:space="preserve"> zu korrigieren. Selektivverträge sollten weiter evaluiert werden können. Dies gilt zum einen, um dort weiterhin dem Transparenzgedanken g</w:t>
      </w:r>
      <w:r w:rsidRPr="00806F21">
        <w:rPr>
          <w:rFonts w:ascii="Trebuchet MS" w:hAnsi="Trebuchet MS" w:cs="Arial"/>
        </w:rPr>
        <w:t>e</w:t>
      </w:r>
      <w:r w:rsidRPr="00806F21">
        <w:rPr>
          <w:rFonts w:ascii="Trebuchet MS" w:hAnsi="Trebuchet MS" w:cs="Arial"/>
        </w:rPr>
        <w:t xml:space="preserve">recht zu werden. Ebenso könnte das Kollektivvertragssystem weiter gestärkt werden, da andere Krankenkassen und auch Entscheidungsträger durch die Publikationspflicht der </w:t>
      </w:r>
      <w:r w:rsidRPr="00806F21">
        <w:rPr>
          <w:rFonts w:ascii="Trebuchet MS" w:hAnsi="Trebuchet MS" w:cs="Arial"/>
        </w:rPr>
        <w:lastRenderedPageBreak/>
        <w:t>Projektberichte Erkenntnisse, die bisher nicht öffentlich zugänglich sind, verwerten kö</w:t>
      </w:r>
      <w:r w:rsidRPr="00806F21">
        <w:rPr>
          <w:rFonts w:ascii="Trebuchet MS" w:hAnsi="Trebuchet MS" w:cs="Arial"/>
        </w:rPr>
        <w:t>n</w:t>
      </w:r>
      <w:r w:rsidRPr="00806F21">
        <w:rPr>
          <w:rFonts w:ascii="Trebuchet MS" w:hAnsi="Trebuchet MS" w:cs="Arial"/>
        </w:rPr>
        <w:t>nen und durch Empfehlung für die Aufnahme in die Regelversorgung vorsehen. Hierbei sollten jedoch alle bestehenden §140a- Verträge ohne zeitliche Eingrenzung eingeschlo</w:t>
      </w:r>
      <w:r w:rsidRPr="00806F21">
        <w:rPr>
          <w:rFonts w:ascii="Trebuchet MS" w:hAnsi="Trebuchet MS" w:cs="Arial"/>
        </w:rPr>
        <w:t>s</w:t>
      </w:r>
      <w:r w:rsidRPr="00806F21">
        <w:rPr>
          <w:rFonts w:ascii="Trebuchet MS" w:hAnsi="Trebuchet MS" w:cs="Arial"/>
        </w:rPr>
        <w:t xml:space="preserve">sen werden können. </w:t>
      </w:r>
    </w:p>
    <w:p w:rsidR="00B94849" w:rsidRPr="00806F21" w:rsidRDefault="00B94849" w:rsidP="00806F21">
      <w:pPr>
        <w:spacing w:line="360" w:lineRule="auto"/>
        <w:jc w:val="both"/>
        <w:rPr>
          <w:rFonts w:ascii="Trebuchet MS" w:hAnsi="Trebuchet MS" w:cs="Arial"/>
        </w:rPr>
      </w:pPr>
    </w:p>
    <w:p w:rsidR="00DF2702" w:rsidRPr="004E5E3D" w:rsidRDefault="00B94849" w:rsidP="00806F21">
      <w:pPr>
        <w:pStyle w:val="Listenabsatz"/>
        <w:numPr>
          <w:ilvl w:val="0"/>
          <w:numId w:val="17"/>
        </w:numPr>
        <w:spacing w:line="360" w:lineRule="auto"/>
        <w:jc w:val="both"/>
        <w:rPr>
          <w:rFonts w:ascii="Trebuchet MS" w:hAnsi="Trebuchet MS" w:cs="Arial"/>
        </w:rPr>
      </w:pPr>
      <w:r w:rsidRPr="004E5E3D">
        <w:rPr>
          <w:rFonts w:ascii="Trebuchet MS" w:hAnsi="Trebuchet MS" w:cs="Arial"/>
          <w:b/>
        </w:rPr>
        <w:t xml:space="preserve">Zum neuen Themenfeld Leitlinienweiterentwicklung in Kooperation mit der AWMF (Artikel 1 Nr. 11.b) </w:t>
      </w:r>
      <w:proofErr w:type="spellStart"/>
      <w:r w:rsidRPr="004E5E3D">
        <w:rPr>
          <w:rFonts w:ascii="Trebuchet MS" w:hAnsi="Trebuchet MS" w:cs="Arial"/>
          <w:b/>
        </w:rPr>
        <w:t>aa</w:t>
      </w:r>
      <w:proofErr w:type="spellEnd"/>
      <w:r w:rsidRPr="004E5E3D">
        <w:rPr>
          <w:rFonts w:ascii="Trebuchet MS" w:hAnsi="Trebuchet MS" w:cs="Arial"/>
          <w:b/>
        </w:rPr>
        <w:t xml:space="preserve">)): </w:t>
      </w:r>
    </w:p>
    <w:p w:rsidR="00DF2702" w:rsidRPr="00806F21" w:rsidRDefault="00DF2702" w:rsidP="00806F21">
      <w:pPr>
        <w:spacing w:line="360" w:lineRule="auto"/>
        <w:jc w:val="both"/>
        <w:rPr>
          <w:rFonts w:ascii="Trebuchet MS" w:hAnsi="Trebuchet MS" w:cs="Arial"/>
        </w:rPr>
      </w:pPr>
    </w:p>
    <w:p w:rsidR="00B94849" w:rsidRPr="00806F21" w:rsidRDefault="00B94849" w:rsidP="00806F21">
      <w:pPr>
        <w:spacing w:line="360" w:lineRule="auto"/>
        <w:jc w:val="both"/>
        <w:rPr>
          <w:rFonts w:ascii="Trebuchet MS" w:hAnsi="Trebuchet MS" w:cs="Arial"/>
        </w:rPr>
      </w:pPr>
      <w:r w:rsidRPr="00806F21">
        <w:rPr>
          <w:rFonts w:ascii="Trebuchet MS" w:hAnsi="Trebuchet MS" w:cs="Arial"/>
        </w:rPr>
        <w:t>Die Aufnahme der Förderung der Weiterentwicklung von Leitlinien in Kooperation mit der AWMF ist sehr zu begrüßen. Es ermöglicht die dringend notwendige unabhängige F</w:t>
      </w:r>
      <w:r w:rsidRPr="00806F21">
        <w:rPr>
          <w:rFonts w:ascii="Trebuchet MS" w:hAnsi="Trebuchet MS" w:cs="Arial"/>
        </w:rPr>
        <w:t>i</w:t>
      </w:r>
      <w:r w:rsidRPr="00806F21">
        <w:rPr>
          <w:rFonts w:ascii="Trebuchet MS" w:hAnsi="Trebuchet MS" w:cs="Arial"/>
        </w:rPr>
        <w:t>nanzierung zur Erzeugung höchster Evidenz und direkt wirksamer Verbesserungen in der täglichen Versorgungs</w:t>
      </w:r>
      <w:r w:rsidR="00527953">
        <w:rPr>
          <w:rFonts w:ascii="Trebuchet MS" w:hAnsi="Trebuchet MS" w:cs="Arial"/>
        </w:rPr>
        <w:t xml:space="preserve">praxis. Gleichzeitig können </w:t>
      </w:r>
      <w:r w:rsidRPr="00806F21">
        <w:rPr>
          <w:rFonts w:ascii="Trebuchet MS" w:hAnsi="Trebuchet MS" w:cs="Arial"/>
        </w:rPr>
        <w:t>Beratungsthemen, die im G-BA bisher eine unzureichende Evidenzgrundlage in Form von Leitlinien hatten, wie z.</w:t>
      </w:r>
      <w:r w:rsidR="00527953">
        <w:rPr>
          <w:rFonts w:ascii="Trebuchet MS" w:hAnsi="Trebuchet MS" w:cs="Arial"/>
        </w:rPr>
        <w:t> B. im nicht-ärztlichen Bereich,</w:t>
      </w:r>
      <w:r w:rsidRPr="00806F21">
        <w:rPr>
          <w:rFonts w:ascii="Trebuchet MS" w:hAnsi="Trebuchet MS" w:cs="Arial"/>
        </w:rPr>
        <w:t xml:space="preserve"> durch gezielte Auswahl und Förderung unterstützt werden. Neben der Kooperation mit der AWMF wäre hier jedoch auch eine Beteiligung z.B. aus dem nichtärztlichen Bereich denkbar.</w:t>
      </w:r>
    </w:p>
    <w:p w:rsidR="0091530E" w:rsidRPr="00806F21" w:rsidRDefault="0091530E" w:rsidP="00806F21">
      <w:pPr>
        <w:spacing w:line="360" w:lineRule="auto"/>
        <w:jc w:val="both"/>
        <w:rPr>
          <w:rFonts w:ascii="Trebuchet MS" w:hAnsi="Trebuchet MS" w:cs="Arial"/>
        </w:rPr>
      </w:pPr>
    </w:p>
    <w:p w:rsidR="0091530E" w:rsidRPr="004E5E3D" w:rsidRDefault="00B94849" w:rsidP="00806F21">
      <w:pPr>
        <w:pStyle w:val="Listenabsatz"/>
        <w:numPr>
          <w:ilvl w:val="0"/>
          <w:numId w:val="17"/>
        </w:numPr>
        <w:spacing w:line="360" w:lineRule="auto"/>
        <w:jc w:val="both"/>
        <w:rPr>
          <w:rFonts w:ascii="Trebuchet MS" w:hAnsi="Trebuchet MS" w:cstheme="minorBidi"/>
        </w:rPr>
      </w:pPr>
      <w:r w:rsidRPr="004E5E3D">
        <w:rPr>
          <w:rFonts w:ascii="Trebuchet MS" w:hAnsi="Trebuchet MS" w:cs="Arial"/>
          <w:b/>
        </w:rPr>
        <w:t>Sonderregelung zur Themensetzung 2020 durch das</w:t>
      </w:r>
      <w:r w:rsidR="0091530E" w:rsidRPr="004E5E3D">
        <w:rPr>
          <w:rFonts w:ascii="Trebuchet MS" w:hAnsi="Trebuchet MS" w:cs="Arial"/>
          <w:b/>
        </w:rPr>
        <w:t xml:space="preserve"> BMG (Artikel 1 Nr. 12. b) </w:t>
      </w:r>
      <w:proofErr w:type="spellStart"/>
      <w:r w:rsidR="0091530E" w:rsidRPr="004E5E3D">
        <w:rPr>
          <w:rFonts w:ascii="Trebuchet MS" w:hAnsi="Trebuchet MS" w:cs="Arial"/>
          <w:b/>
        </w:rPr>
        <w:t>bb</w:t>
      </w:r>
      <w:proofErr w:type="spellEnd"/>
      <w:r w:rsidR="0091530E" w:rsidRPr="004E5E3D">
        <w:rPr>
          <w:rFonts w:ascii="Trebuchet MS" w:hAnsi="Trebuchet MS" w:cs="Arial"/>
          <w:b/>
        </w:rPr>
        <w:t>))</w:t>
      </w:r>
    </w:p>
    <w:p w:rsidR="0091530E" w:rsidRPr="00806F21" w:rsidRDefault="0091530E" w:rsidP="00806F21">
      <w:pPr>
        <w:spacing w:line="360" w:lineRule="auto"/>
        <w:jc w:val="both"/>
        <w:rPr>
          <w:rFonts w:ascii="Trebuchet MS" w:hAnsi="Trebuchet MS" w:cs="Arial"/>
        </w:rPr>
      </w:pPr>
    </w:p>
    <w:p w:rsidR="00B94849" w:rsidRPr="00806F21" w:rsidRDefault="00B94849" w:rsidP="00806F21">
      <w:pPr>
        <w:spacing w:line="360" w:lineRule="auto"/>
        <w:jc w:val="both"/>
        <w:rPr>
          <w:rFonts w:ascii="Trebuchet MS" w:hAnsi="Trebuchet MS" w:cstheme="minorBidi"/>
        </w:rPr>
      </w:pPr>
      <w:r w:rsidRPr="00806F21">
        <w:rPr>
          <w:rFonts w:ascii="Trebuchet MS" w:hAnsi="Trebuchet MS" w:cs="Arial"/>
        </w:rPr>
        <w:t>Diese Formulierung bezweckt ein pragmatisches Vorgehen für die diesjährige Theme</w:t>
      </w:r>
      <w:r w:rsidRPr="00806F21">
        <w:rPr>
          <w:rFonts w:ascii="Trebuchet MS" w:hAnsi="Trebuchet MS" w:cs="Arial"/>
        </w:rPr>
        <w:t>n</w:t>
      </w:r>
      <w:r w:rsidRPr="00806F21">
        <w:rPr>
          <w:rFonts w:ascii="Trebuchet MS" w:hAnsi="Trebuchet MS" w:cs="Arial"/>
        </w:rPr>
        <w:t xml:space="preserve">setzung, </w:t>
      </w:r>
      <w:r w:rsidR="0091530E" w:rsidRPr="00806F21">
        <w:rPr>
          <w:rFonts w:ascii="Trebuchet MS" w:hAnsi="Trebuchet MS" w:cs="Arial"/>
        </w:rPr>
        <w:t>sie ist aber aus Sicht der BAG SELBSTHILFE</w:t>
      </w:r>
      <w:r w:rsidRPr="00806F21">
        <w:rPr>
          <w:rFonts w:ascii="Trebuchet MS" w:hAnsi="Trebuchet MS" w:cs="Arial"/>
        </w:rPr>
        <w:t xml:space="preserve"> nicht erforderlich. Auch der Geset</w:t>
      </w:r>
      <w:r w:rsidRPr="00806F21">
        <w:rPr>
          <w:rFonts w:ascii="Trebuchet MS" w:hAnsi="Trebuchet MS" w:cs="Arial"/>
        </w:rPr>
        <w:t>z</w:t>
      </w:r>
      <w:r w:rsidRPr="00806F21">
        <w:rPr>
          <w:rFonts w:ascii="Trebuchet MS" w:hAnsi="Trebuchet MS" w:cs="Arial"/>
        </w:rPr>
        <w:t>entwurf sieht ein systematisches Konsultationsverfahren für die diesjährige Themenfi</w:t>
      </w:r>
      <w:r w:rsidRPr="00806F21">
        <w:rPr>
          <w:rFonts w:ascii="Trebuchet MS" w:hAnsi="Trebuchet MS" w:cs="Arial"/>
        </w:rPr>
        <w:t>n</w:t>
      </w:r>
      <w:r w:rsidRPr="00806F21">
        <w:rPr>
          <w:rFonts w:ascii="Trebuchet MS" w:hAnsi="Trebuchet MS" w:cs="Arial"/>
        </w:rPr>
        <w:t>dung vor, um die Ideenvielfalt und Ausgewogenheit der Themensetzung, ausgerichtet an Versorgungsbedarfen, zu garantieren. Diese Konsultation kann ebenso gut über den Inn</w:t>
      </w:r>
      <w:r w:rsidRPr="00806F21">
        <w:rPr>
          <w:rFonts w:ascii="Trebuchet MS" w:hAnsi="Trebuchet MS" w:cs="Arial"/>
        </w:rPr>
        <w:t>o</w:t>
      </w:r>
      <w:r w:rsidRPr="00806F21">
        <w:rPr>
          <w:rFonts w:ascii="Trebuchet MS" w:hAnsi="Trebuchet MS" w:cs="Arial"/>
        </w:rPr>
        <w:t>vationsausschuss als etabliertes Gremium erfolgen, der durchaus in der Lage ist, auch kurzfristig Themen für eine neue Ausschreibung zu generieren</w:t>
      </w:r>
      <w:r w:rsidR="00680723" w:rsidRPr="00806F21">
        <w:rPr>
          <w:rFonts w:ascii="Trebuchet MS" w:hAnsi="Trebuchet MS" w:cs="Arial"/>
        </w:rPr>
        <w:t xml:space="preserve"> und zudem die Patiente</w:t>
      </w:r>
      <w:r w:rsidR="00680723" w:rsidRPr="00806F21">
        <w:rPr>
          <w:rFonts w:ascii="Trebuchet MS" w:hAnsi="Trebuchet MS" w:cs="Arial"/>
        </w:rPr>
        <w:t>n</w:t>
      </w:r>
      <w:r w:rsidR="00680723" w:rsidRPr="00806F21">
        <w:rPr>
          <w:rFonts w:ascii="Trebuchet MS" w:hAnsi="Trebuchet MS" w:cs="Arial"/>
        </w:rPr>
        <w:t>beteiligung gewährleistet</w:t>
      </w:r>
      <w:r w:rsidRPr="00806F21">
        <w:rPr>
          <w:rFonts w:ascii="Trebuchet MS" w:hAnsi="Trebuchet MS" w:cs="Arial"/>
        </w:rPr>
        <w:t xml:space="preserve">. Für das Jahr 2020 sollte das BMG zumindest eine Konsultation und eine konsentierte Themenliste mit dem Innovationsausschuss aufstellen. </w:t>
      </w:r>
    </w:p>
    <w:p w:rsidR="00B94849" w:rsidRPr="00806F21" w:rsidRDefault="00B94849" w:rsidP="00806F21">
      <w:pPr>
        <w:tabs>
          <w:tab w:val="left" w:pos="567"/>
        </w:tabs>
        <w:autoSpaceDE w:val="0"/>
        <w:autoSpaceDN w:val="0"/>
        <w:adjustRightInd w:val="0"/>
        <w:spacing w:line="360" w:lineRule="auto"/>
        <w:ind w:left="567" w:hanging="567"/>
        <w:rPr>
          <w:rFonts w:ascii="Trebuchet MS" w:hAnsi="Trebuchet MS" w:cs="Melior Com"/>
          <w:color w:val="000000"/>
        </w:rPr>
      </w:pPr>
    </w:p>
    <w:p w:rsidR="00B94849" w:rsidRPr="00806F21" w:rsidRDefault="00B94849" w:rsidP="00806F21">
      <w:pPr>
        <w:spacing w:line="360" w:lineRule="auto"/>
        <w:rPr>
          <w:rFonts w:ascii="Trebuchet MS" w:hAnsi="Trebuchet MS"/>
        </w:rPr>
      </w:pPr>
    </w:p>
    <w:p w:rsidR="000B79C6" w:rsidRPr="00806F21" w:rsidRDefault="000B79C6" w:rsidP="00806F21">
      <w:pPr>
        <w:spacing w:line="360" w:lineRule="auto"/>
        <w:rPr>
          <w:rFonts w:ascii="Trebuchet MS" w:hAnsi="Trebuchet MS"/>
        </w:rPr>
      </w:pPr>
    </w:p>
    <w:p w:rsidR="000B6BB5" w:rsidRPr="004E5E3D" w:rsidRDefault="000B6BB5" w:rsidP="004E5E3D">
      <w:pPr>
        <w:pStyle w:val="berschrift1"/>
        <w:numPr>
          <w:ilvl w:val="0"/>
          <w:numId w:val="14"/>
        </w:numPr>
        <w:spacing w:line="360" w:lineRule="auto"/>
        <w:rPr>
          <w:rFonts w:ascii="Trebuchet MS" w:hAnsi="Trebuchet MS"/>
          <w:sz w:val="24"/>
          <w:szCs w:val="24"/>
        </w:rPr>
      </w:pPr>
      <w:r w:rsidRPr="004E5E3D">
        <w:rPr>
          <w:rFonts w:ascii="Trebuchet MS" w:hAnsi="Trebuchet MS"/>
          <w:sz w:val="24"/>
          <w:szCs w:val="24"/>
        </w:rPr>
        <w:lastRenderedPageBreak/>
        <w:t>Elektronische Patientenakte</w:t>
      </w:r>
      <w:r w:rsidR="004E5E3D">
        <w:rPr>
          <w:rFonts w:ascii="Trebuchet MS" w:hAnsi="Trebuchet MS"/>
          <w:sz w:val="24"/>
          <w:szCs w:val="24"/>
        </w:rPr>
        <w:t xml:space="preserve"> (§ 291a ff. SGB V)</w:t>
      </w:r>
    </w:p>
    <w:p w:rsidR="005B2225" w:rsidRPr="004E5E3D" w:rsidRDefault="005B2225" w:rsidP="004E5E3D">
      <w:pPr>
        <w:spacing w:line="360" w:lineRule="auto"/>
        <w:rPr>
          <w:rFonts w:ascii="Trebuchet MS" w:hAnsi="Trebuchet MS" w:cs="Arial"/>
        </w:rPr>
      </w:pPr>
      <w:r w:rsidRPr="004E5E3D">
        <w:rPr>
          <w:rFonts w:ascii="Trebuchet MS" w:hAnsi="Trebuchet MS" w:cs="Arial"/>
          <w:bCs/>
        </w:rPr>
        <w:t xml:space="preserve">Die BAG SELBSTHILFE </w:t>
      </w:r>
      <w:r w:rsidR="004E5E3D">
        <w:rPr>
          <w:rFonts w:ascii="Trebuchet MS" w:hAnsi="Trebuchet MS" w:cs="Arial"/>
          <w:bCs/>
        </w:rPr>
        <w:t>begrüßt viele der vorgesehenen Maßnahmen, insbesondere die Ei</w:t>
      </w:r>
      <w:r w:rsidR="004E5E3D">
        <w:rPr>
          <w:rFonts w:ascii="Trebuchet MS" w:hAnsi="Trebuchet MS" w:cs="Arial"/>
          <w:bCs/>
        </w:rPr>
        <w:t>n</w:t>
      </w:r>
      <w:r w:rsidR="004E5E3D">
        <w:rPr>
          <w:rFonts w:ascii="Trebuchet MS" w:hAnsi="Trebuchet MS" w:cs="Arial"/>
          <w:bCs/>
        </w:rPr>
        <w:t xml:space="preserve">beziehung weiterer Personen, die an der Gesundheitsversorgung beteiligt sind, etwa der Pflege. Gerade unter diesem Aspekt </w:t>
      </w:r>
      <w:r w:rsidRPr="004E5E3D">
        <w:rPr>
          <w:rFonts w:ascii="Trebuchet MS" w:hAnsi="Trebuchet MS" w:cs="Arial"/>
          <w:bCs/>
        </w:rPr>
        <w:t>sieht</w:t>
      </w:r>
      <w:r w:rsidR="004E5E3D">
        <w:rPr>
          <w:rFonts w:ascii="Trebuchet MS" w:hAnsi="Trebuchet MS" w:cs="Arial"/>
          <w:bCs/>
        </w:rPr>
        <w:t xml:space="preserve"> sie aber</w:t>
      </w:r>
      <w:r w:rsidRPr="004E5E3D">
        <w:rPr>
          <w:rFonts w:ascii="Trebuchet MS" w:hAnsi="Trebuchet MS" w:cs="Arial"/>
          <w:bCs/>
        </w:rPr>
        <w:t xml:space="preserve"> die vorgesehene Ausgestaltung der ersten Stufe der elektroni</w:t>
      </w:r>
      <w:r w:rsidR="004E5E3D">
        <w:rPr>
          <w:rFonts w:ascii="Trebuchet MS" w:hAnsi="Trebuchet MS" w:cs="Arial"/>
          <w:bCs/>
        </w:rPr>
        <w:t>schen Patientenakte</w:t>
      </w:r>
      <w:r w:rsidRPr="004E5E3D">
        <w:rPr>
          <w:rFonts w:ascii="Trebuchet MS" w:hAnsi="Trebuchet MS" w:cs="Arial"/>
          <w:bCs/>
        </w:rPr>
        <w:t xml:space="preserve"> sehr kritisch.</w:t>
      </w:r>
      <w:r w:rsidR="00025CFA" w:rsidRPr="004E5E3D">
        <w:rPr>
          <w:rFonts w:ascii="Trebuchet MS" w:hAnsi="Trebuchet MS" w:cs="Arial"/>
          <w:bCs/>
        </w:rPr>
        <w:t xml:space="preserve"> </w:t>
      </w:r>
      <w:r w:rsidR="004E5E3D">
        <w:rPr>
          <w:rFonts w:ascii="Trebuchet MS" w:hAnsi="Trebuchet MS" w:cs="Arial"/>
          <w:bCs/>
        </w:rPr>
        <w:t>Eine differenzierte Z</w:t>
      </w:r>
      <w:r w:rsidR="004E5E3D">
        <w:rPr>
          <w:rFonts w:ascii="Trebuchet MS" w:hAnsi="Trebuchet MS" w:cs="Arial"/>
          <w:bCs/>
        </w:rPr>
        <w:t>u</w:t>
      </w:r>
      <w:r w:rsidR="004E5E3D">
        <w:rPr>
          <w:rFonts w:ascii="Trebuchet MS" w:hAnsi="Trebuchet MS" w:cs="Arial"/>
          <w:bCs/>
        </w:rPr>
        <w:t xml:space="preserve">gangserteilung muss von Anfang an möglich sein. </w:t>
      </w:r>
      <w:r w:rsidR="00025CFA" w:rsidRPr="004E5E3D">
        <w:rPr>
          <w:rFonts w:ascii="Trebuchet MS" w:hAnsi="Trebuchet MS" w:cs="Arial"/>
          <w:bCs/>
        </w:rPr>
        <w:t>Es muss klargestellt werden, dass Pat</w:t>
      </w:r>
      <w:r w:rsidR="00025CFA" w:rsidRPr="004E5E3D">
        <w:rPr>
          <w:rFonts w:ascii="Trebuchet MS" w:hAnsi="Trebuchet MS" w:cs="Arial"/>
          <w:bCs/>
        </w:rPr>
        <w:t>i</w:t>
      </w:r>
      <w:r w:rsidR="00025CFA" w:rsidRPr="004E5E3D">
        <w:rPr>
          <w:rFonts w:ascii="Trebuchet MS" w:hAnsi="Trebuchet MS" w:cs="Arial"/>
          <w:bCs/>
        </w:rPr>
        <w:t>entinnen und Patienten Zugriffe auf ihre Daten stufenweise freigeben können, also dem Hausarzt A einen vollen Zugang und dem Arzt B</w:t>
      </w:r>
      <w:r w:rsidR="00527953">
        <w:rPr>
          <w:rFonts w:ascii="Trebuchet MS" w:hAnsi="Trebuchet MS" w:cs="Arial"/>
          <w:bCs/>
        </w:rPr>
        <w:t>/ Pfleger B</w:t>
      </w:r>
      <w:r w:rsidR="00025CFA" w:rsidRPr="004E5E3D">
        <w:rPr>
          <w:rFonts w:ascii="Trebuchet MS" w:hAnsi="Trebuchet MS" w:cs="Arial"/>
          <w:bCs/>
        </w:rPr>
        <w:t xml:space="preserve"> einen eingeschränkten Z</w:t>
      </w:r>
      <w:r w:rsidR="00025CFA" w:rsidRPr="004E5E3D">
        <w:rPr>
          <w:rFonts w:ascii="Trebuchet MS" w:hAnsi="Trebuchet MS" w:cs="Arial"/>
          <w:bCs/>
        </w:rPr>
        <w:t>u</w:t>
      </w:r>
      <w:r w:rsidR="00025CFA" w:rsidRPr="004E5E3D">
        <w:rPr>
          <w:rFonts w:ascii="Trebuchet MS" w:hAnsi="Trebuchet MS" w:cs="Arial"/>
          <w:bCs/>
        </w:rPr>
        <w:t>gang; nur dann ist der Patient Herr seiner Daten.</w:t>
      </w:r>
      <w:r w:rsidR="00025CFA" w:rsidRPr="004E5E3D">
        <w:rPr>
          <w:rFonts w:ascii="Trebuchet MS" w:hAnsi="Trebuchet MS" w:cs="Arial"/>
        </w:rPr>
        <w:t xml:space="preserve"> </w:t>
      </w:r>
    </w:p>
    <w:p w:rsidR="00025CFA" w:rsidRPr="004E5E3D" w:rsidRDefault="00025CFA" w:rsidP="004E5E3D">
      <w:pPr>
        <w:spacing w:line="360" w:lineRule="auto"/>
        <w:rPr>
          <w:rFonts w:ascii="Trebuchet MS" w:hAnsi="Trebuchet MS" w:cs="Arial"/>
        </w:rPr>
      </w:pPr>
    </w:p>
    <w:p w:rsidR="00025CFA" w:rsidRPr="004E5E3D" w:rsidRDefault="00025CFA" w:rsidP="004E5E3D">
      <w:pPr>
        <w:spacing w:line="360" w:lineRule="auto"/>
        <w:rPr>
          <w:rFonts w:ascii="Trebuchet MS" w:hAnsi="Trebuchet MS"/>
        </w:rPr>
      </w:pPr>
      <w:r w:rsidRPr="004E5E3D">
        <w:rPr>
          <w:rFonts w:ascii="Trebuchet MS" w:hAnsi="Trebuchet MS" w:cs="Arial"/>
        </w:rPr>
        <w:t>Sehr begrüßt wird, dass u.a. der Impfpass, das Zahn-Bonusheft, der Mutterpass und das U- Untersuchungsheft für Kinder in die elektronische Patientenakte eingebunden werden soll.</w:t>
      </w:r>
    </w:p>
    <w:p w:rsidR="00CC052C" w:rsidRDefault="00CC052C" w:rsidP="004E5E3D">
      <w:pPr>
        <w:spacing w:line="360" w:lineRule="auto"/>
        <w:rPr>
          <w:rFonts w:ascii="Trebuchet MS" w:hAnsi="Trebuchet MS"/>
        </w:rPr>
      </w:pPr>
    </w:p>
    <w:p w:rsidR="004E5E3D" w:rsidRPr="004E5E3D" w:rsidRDefault="004E5E3D" w:rsidP="004E5E3D">
      <w:pPr>
        <w:pStyle w:val="Listenabsatz"/>
        <w:numPr>
          <w:ilvl w:val="0"/>
          <w:numId w:val="18"/>
        </w:numPr>
        <w:spacing w:line="360" w:lineRule="auto"/>
        <w:rPr>
          <w:rFonts w:ascii="Trebuchet MS" w:hAnsi="Trebuchet MS"/>
          <w:b/>
        </w:rPr>
      </w:pPr>
      <w:r w:rsidRPr="004E5E3D">
        <w:rPr>
          <w:rFonts w:ascii="Trebuchet MS" w:hAnsi="Trebuchet MS"/>
          <w:b/>
        </w:rPr>
        <w:t>Barrierefreiheit</w:t>
      </w:r>
    </w:p>
    <w:p w:rsidR="004E5E3D" w:rsidRPr="004E5E3D" w:rsidRDefault="004E5E3D" w:rsidP="004E5E3D">
      <w:pPr>
        <w:pStyle w:val="Listenabsatz"/>
        <w:spacing w:line="360" w:lineRule="auto"/>
        <w:rPr>
          <w:rFonts w:ascii="Trebuchet MS" w:hAnsi="Trebuchet MS"/>
        </w:rPr>
      </w:pPr>
    </w:p>
    <w:p w:rsidR="000B6BB5" w:rsidRPr="004E5E3D" w:rsidRDefault="00690726" w:rsidP="004E5E3D">
      <w:pPr>
        <w:spacing w:line="360" w:lineRule="auto"/>
        <w:rPr>
          <w:rFonts w:ascii="Trebuchet MS" w:hAnsi="Trebuchet MS"/>
        </w:rPr>
      </w:pPr>
      <w:r w:rsidRPr="004E5E3D">
        <w:rPr>
          <w:rFonts w:ascii="Trebuchet MS" w:hAnsi="Trebuchet MS"/>
        </w:rPr>
        <w:t>E</w:t>
      </w:r>
      <w:r w:rsidR="000B6BB5" w:rsidRPr="004E5E3D">
        <w:rPr>
          <w:rFonts w:ascii="Trebuchet MS" w:hAnsi="Trebuchet MS"/>
        </w:rPr>
        <w:t>in barrierefreier Zugriff zur Patientenakte für Vers</w:t>
      </w:r>
      <w:r w:rsidR="00527953">
        <w:rPr>
          <w:rFonts w:ascii="Trebuchet MS" w:hAnsi="Trebuchet MS"/>
        </w:rPr>
        <w:t xml:space="preserve">icherte mit Behinderungen muss </w:t>
      </w:r>
      <w:r w:rsidR="000B6BB5" w:rsidRPr="004E5E3D">
        <w:rPr>
          <w:rFonts w:ascii="Trebuchet MS" w:hAnsi="Trebuchet MS"/>
        </w:rPr>
        <w:t>g</w:t>
      </w:r>
      <w:r w:rsidR="000B6BB5" w:rsidRPr="004E5E3D">
        <w:rPr>
          <w:rFonts w:ascii="Trebuchet MS" w:hAnsi="Trebuchet MS"/>
        </w:rPr>
        <w:t>e</w:t>
      </w:r>
      <w:r w:rsidR="000B6BB5" w:rsidRPr="004E5E3D">
        <w:rPr>
          <w:rFonts w:ascii="Trebuchet MS" w:hAnsi="Trebuchet MS"/>
        </w:rPr>
        <w:t>währleistet sein. Das umfasst sowohl die zum Einsatz kommende Software, als auch die eingesetzte Hardware, z. B. in Form spezieller Kartenlesegeräte zur Authentifizierung.</w:t>
      </w:r>
    </w:p>
    <w:p w:rsidR="00025CFA" w:rsidRPr="004E5E3D" w:rsidRDefault="00025CFA" w:rsidP="004E5E3D">
      <w:pPr>
        <w:spacing w:line="360" w:lineRule="auto"/>
        <w:rPr>
          <w:rFonts w:ascii="Trebuchet MS" w:hAnsi="Trebuchet MS"/>
        </w:rPr>
      </w:pPr>
    </w:p>
    <w:p w:rsidR="000B6BB5" w:rsidRPr="004E5E3D" w:rsidRDefault="00025CFA" w:rsidP="004E5E3D">
      <w:pPr>
        <w:spacing w:line="360" w:lineRule="auto"/>
        <w:rPr>
          <w:rFonts w:ascii="Trebuchet MS" w:hAnsi="Trebuchet MS"/>
        </w:rPr>
      </w:pPr>
      <w:r w:rsidRPr="004E5E3D">
        <w:rPr>
          <w:rFonts w:ascii="Trebuchet MS" w:hAnsi="Trebuchet MS"/>
        </w:rPr>
        <w:t xml:space="preserve">Leider haben die </w:t>
      </w:r>
      <w:r w:rsidR="000B6BB5" w:rsidRPr="004E5E3D">
        <w:rPr>
          <w:rFonts w:ascii="Trebuchet MS" w:hAnsi="Trebuchet MS"/>
        </w:rPr>
        <w:t xml:space="preserve">Erfahrungen </w:t>
      </w:r>
      <w:r w:rsidRPr="004E5E3D">
        <w:rPr>
          <w:rFonts w:ascii="Trebuchet MS" w:hAnsi="Trebuchet MS"/>
        </w:rPr>
        <w:t xml:space="preserve">unserer Verbände </w:t>
      </w:r>
      <w:r w:rsidR="000B6BB5" w:rsidRPr="004E5E3D">
        <w:rPr>
          <w:rFonts w:ascii="Trebuchet MS" w:hAnsi="Trebuchet MS"/>
        </w:rPr>
        <w:t>mit den durch einige Krankenkassen b</w:t>
      </w:r>
      <w:r w:rsidR="000B6BB5" w:rsidRPr="004E5E3D">
        <w:rPr>
          <w:rFonts w:ascii="Trebuchet MS" w:hAnsi="Trebuchet MS"/>
        </w:rPr>
        <w:t>e</w:t>
      </w:r>
      <w:r w:rsidR="000B6BB5" w:rsidRPr="004E5E3D">
        <w:rPr>
          <w:rFonts w:ascii="Trebuchet MS" w:hAnsi="Trebuchet MS"/>
        </w:rPr>
        <w:t xml:space="preserve">reitgestellten Anwendungen (u. a. </w:t>
      </w:r>
      <w:proofErr w:type="spellStart"/>
      <w:r w:rsidR="000B6BB5" w:rsidRPr="004E5E3D">
        <w:rPr>
          <w:rFonts w:ascii="Trebuchet MS" w:hAnsi="Trebuchet MS"/>
        </w:rPr>
        <w:t>Vivy</w:t>
      </w:r>
      <w:proofErr w:type="spellEnd"/>
      <w:r w:rsidR="000B6BB5" w:rsidRPr="004E5E3D">
        <w:rPr>
          <w:rFonts w:ascii="Trebuchet MS" w:hAnsi="Trebuchet MS"/>
        </w:rPr>
        <w:t>) gezeigt, dass diese nicht für blinde und sehb</w:t>
      </w:r>
      <w:r w:rsidR="000B6BB5" w:rsidRPr="004E5E3D">
        <w:rPr>
          <w:rFonts w:ascii="Trebuchet MS" w:hAnsi="Trebuchet MS"/>
        </w:rPr>
        <w:t>e</w:t>
      </w:r>
      <w:r w:rsidR="000B6BB5" w:rsidRPr="004E5E3D">
        <w:rPr>
          <w:rFonts w:ascii="Trebuchet MS" w:hAnsi="Trebuchet MS"/>
        </w:rPr>
        <w:t>hinderte Me</w:t>
      </w:r>
      <w:r w:rsidR="00527953">
        <w:rPr>
          <w:rFonts w:ascii="Trebuchet MS" w:hAnsi="Trebuchet MS"/>
        </w:rPr>
        <w:t>nschen nutzbar sind. Die BAG SELBSTHILFE fordert</w:t>
      </w:r>
      <w:r w:rsidR="000B6BB5" w:rsidRPr="004E5E3D">
        <w:rPr>
          <w:rFonts w:ascii="Trebuchet MS" w:hAnsi="Trebuchet MS"/>
        </w:rPr>
        <w:t xml:space="preserve"> daher umso mehr, dass die nach § 291h SGB V_E zur Verfügung gestellte elektronische Patientenakte auch für blinde und sehbehinderte Menschen uneingeschränkt eigenständig nutzbar ist. </w:t>
      </w:r>
    </w:p>
    <w:p w:rsidR="00025CFA" w:rsidRPr="004E5E3D" w:rsidRDefault="00025CFA" w:rsidP="004E5E3D">
      <w:pPr>
        <w:spacing w:line="360" w:lineRule="auto"/>
        <w:rPr>
          <w:rFonts w:ascii="Trebuchet MS" w:hAnsi="Trebuchet MS"/>
        </w:rPr>
      </w:pPr>
    </w:p>
    <w:p w:rsidR="000B6BB5" w:rsidRPr="004E5E3D" w:rsidRDefault="000B6BB5" w:rsidP="004E5E3D">
      <w:pPr>
        <w:spacing w:line="360" w:lineRule="auto"/>
        <w:rPr>
          <w:rFonts w:ascii="Trebuchet MS" w:hAnsi="Trebuchet MS"/>
        </w:rPr>
      </w:pPr>
      <w:r w:rsidRPr="004E5E3D">
        <w:rPr>
          <w:rFonts w:ascii="Trebuchet MS" w:hAnsi="Trebuchet MS"/>
        </w:rPr>
        <w:t>In diesem Zusammenhang weisen wir darauf hin, dass die Anzahl von Menschen mit e</w:t>
      </w:r>
      <w:r w:rsidRPr="004E5E3D">
        <w:rPr>
          <w:rFonts w:ascii="Trebuchet MS" w:hAnsi="Trebuchet MS"/>
        </w:rPr>
        <w:t>r</w:t>
      </w:r>
      <w:r w:rsidRPr="004E5E3D">
        <w:rPr>
          <w:rFonts w:ascii="Trebuchet MS" w:hAnsi="Trebuchet MS"/>
        </w:rPr>
        <w:t>heblichen Seheinschränkungen aufgrund der zunehmenden Lebenserwartung und der Tatsache, dass Seheinschränkungen vor allem im höheren Lebensalter auftreten, massiv zunehmen wird. Ältere Menschen sind gleichzeitig die Patientengruppe, die besonders stark auf medizinische Leistungen angewiesen ist. Diese Menschen müssen – wie alle a</w:t>
      </w:r>
      <w:r w:rsidRPr="004E5E3D">
        <w:rPr>
          <w:rFonts w:ascii="Trebuchet MS" w:hAnsi="Trebuchet MS"/>
        </w:rPr>
        <w:t>n</w:t>
      </w:r>
      <w:r w:rsidRPr="004E5E3D">
        <w:rPr>
          <w:rFonts w:ascii="Trebuchet MS" w:hAnsi="Trebuchet MS"/>
        </w:rPr>
        <w:t>deren auch - die Möglichkeit haben selbstbestimmt und eigenverantwortlich auf ihre G</w:t>
      </w:r>
      <w:r w:rsidRPr="004E5E3D">
        <w:rPr>
          <w:rFonts w:ascii="Trebuchet MS" w:hAnsi="Trebuchet MS"/>
        </w:rPr>
        <w:t>e</w:t>
      </w:r>
      <w:r w:rsidRPr="004E5E3D">
        <w:rPr>
          <w:rFonts w:ascii="Trebuchet MS" w:hAnsi="Trebuchet MS"/>
        </w:rPr>
        <w:t>sundheitsdaten zugreifen zu können.</w:t>
      </w:r>
    </w:p>
    <w:p w:rsidR="00025CFA" w:rsidRPr="004E5E3D" w:rsidRDefault="00025CFA" w:rsidP="004E5E3D">
      <w:pPr>
        <w:spacing w:line="360" w:lineRule="auto"/>
        <w:rPr>
          <w:rFonts w:ascii="Trebuchet MS" w:hAnsi="Trebuchet MS"/>
        </w:rPr>
      </w:pPr>
    </w:p>
    <w:p w:rsidR="000B6BB5" w:rsidRPr="004E5E3D" w:rsidRDefault="000B6BB5" w:rsidP="004E5E3D">
      <w:pPr>
        <w:spacing w:line="360" w:lineRule="auto"/>
        <w:rPr>
          <w:rFonts w:ascii="Trebuchet MS" w:hAnsi="Trebuchet MS"/>
        </w:rPr>
      </w:pPr>
      <w:r w:rsidRPr="004E5E3D">
        <w:rPr>
          <w:rFonts w:ascii="Trebuchet MS" w:hAnsi="Trebuchet MS"/>
        </w:rPr>
        <w:t>Zum anderen ist eine barrierefreie Ausgestaltung der digitalen Infrastruktur einschlie</w:t>
      </w:r>
      <w:r w:rsidRPr="004E5E3D">
        <w:rPr>
          <w:rFonts w:ascii="Trebuchet MS" w:hAnsi="Trebuchet MS"/>
        </w:rPr>
        <w:t>ß</w:t>
      </w:r>
      <w:r w:rsidRPr="004E5E3D">
        <w:rPr>
          <w:rFonts w:ascii="Trebuchet MS" w:hAnsi="Trebuchet MS"/>
        </w:rPr>
        <w:t>lich der Zugriffsmöglichkeit auf die elektronische Patientenakte auch deshalb erforde</w:t>
      </w:r>
      <w:r w:rsidRPr="004E5E3D">
        <w:rPr>
          <w:rFonts w:ascii="Trebuchet MS" w:hAnsi="Trebuchet MS"/>
        </w:rPr>
        <w:t>r</w:t>
      </w:r>
      <w:r w:rsidRPr="004E5E3D">
        <w:rPr>
          <w:rFonts w:ascii="Trebuchet MS" w:hAnsi="Trebuchet MS"/>
        </w:rPr>
        <w:t>lich, weil gerade das Gesundheitswesen vielen blinden und sehbehinderten Menschen eine berufliche Perspektive bietet. Als Beispiele seien hier  die Heilmittelerbringer (a</w:t>
      </w:r>
      <w:r w:rsidRPr="004E5E3D">
        <w:rPr>
          <w:rFonts w:ascii="Trebuchet MS" w:hAnsi="Trebuchet MS"/>
        </w:rPr>
        <w:t>n</w:t>
      </w:r>
      <w:r w:rsidRPr="004E5E3D">
        <w:rPr>
          <w:rFonts w:ascii="Trebuchet MS" w:hAnsi="Trebuchet MS"/>
        </w:rPr>
        <w:t xml:space="preserve">gesprochen sind die für Blinde und Sehbehinderte klassischen Berufsfelder des Masseurs, Physiotherapeuten, </w:t>
      </w:r>
      <w:proofErr w:type="spellStart"/>
      <w:r w:rsidRPr="004E5E3D">
        <w:rPr>
          <w:rFonts w:ascii="Trebuchet MS" w:hAnsi="Trebuchet MS"/>
        </w:rPr>
        <w:t>Podologen</w:t>
      </w:r>
      <w:proofErr w:type="spellEnd"/>
      <w:r w:rsidRPr="004E5E3D">
        <w:rPr>
          <w:rFonts w:ascii="Trebuchet MS" w:hAnsi="Trebuchet MS"/>
        </w:rPr>
        <w:t xml:space="preserve"> und zunehmend auch Logopäden), die zunehmende A</w:t>
      </w:r>
      <w:r w:rsidRPr="004E5E3D">
        <w:rPr>
          <w:rFonts w:ascii="Trebuchet MS" w:hAnsi="Trebuchet MS"/>
        </w:rPr>
        <w:t>n</w:t>
      </w:r>
      <w:r w:rsidRPr="004E5E3D">
        <w:rPr>
          <w:rFonts w:ascii="Trebuchet MS" w:hAnsi="Trebuchet MS"/>
        </w:rPr>
        <w:t>zahl blinder und sehbehinderter Psychotherapeuten, die Hilfsmittelleistungserbringer oder auch die in der Verwaltung des Gesundheitssektors Berufstätigen erwähnt. All diese Menschen sind in der täglichen beruflichen Arbeit darauf angewiesen, digitale Anwe</w:t>
      </w:r>
      <w:r w:rsidRPr="004E5E3D">
        <w:rPr>
          <w:rFonts w:ascii="Trebuchet MS" w:hAnsi="Trebuchet MS"/>
        </w:rPr>
        <w:t>n</w:t>
      </w:r>
      <w:r w:rsidRPr="004E5E3D">
        <w:rPr>
          <w:rFonts w:ascii="Trebuchet MS" w:hAnsi="Trebuchet MS"/>
        </w:rPr>
        <w:t>dungen zu nutzen und sie sollen dies durch die vorgesehenen gesetzlichen Regelungen auch verstärkt tun. Es besteht dringender Handlungsbedarf zur Gewährleistung barrier</w:t>
      </w:r>
      <w:r w:rsidRPr="004E5E3D">
        <w:rPr>
          <w:rFonts w:ascii="Trebuchet MS" w:hAnsi="Trebuchet MS"/>
        </w:rPr>
        <w:t>e</w:t>
      </w:r>
      <w:r w:rsidRPr="004E5E3D">
        <w:rPr>
          <w:rFonts w:ascii="Trebuchet MS" w:hAnsi="Trebuchet MS"/>
        </w:rPr>
        <w:t>freier Anwendungen und Bedienmöglichkeiten also auch vor dem Hintergrund der B</w:t>
      </w:r>
      <w:r w:rsidRPr="004E5E3D">
        <w:rPr>
          <w:rFonts w:ascii="Trebuchet MS" w:hAnsi="Trebuchet MS"/>
        </w:rPr>
        <w:t>e</w:t>
      </w:r>
      <w:r w:rsidRPr="004E5E3D">
        <w:rPr>
          <w:rFonts w:ascii="Trebuchet MS" w:hAnsi="Trebuchet MS"/>
        </w:rPr>
        <w:t>rufsausübungsmöglichkeiten.</w:t>
      </w:r>
    </w:p>
    <w:p w:rsidR="000B6BB5" w:rsidRPr="004E5E3D" w:rsidRDefault="000B6BB5" w:rsidP="004E5E3D">
      <w:pPr>
        <w:spacing w:line="360" w:lineRule="auto"/>
        <w:rPr>
          <w:rFonts w:ascii="Trebuchet MS" w:hAnsi="Trebuchet MS"/>
        </w:rPr>
      </w:pPr>
    </w:p>
    <w:p w:rsidR="0070704C" w:rsidRPr="004E5E3D" w:rsidRDefault="0070704C" w:rsidP="004E5E3D">
      <w:pPr>
        <w:pStyle w:val="Listenabsatz"/>
        <w:numPr>
          <w:ilvl w:val="0"/>
          <w:numId w:val="18"/>
        </w:numPr>
        <w:spacing w:line="360" w:lineRule="auto"/>
        <w:rPr>
          <w:rFonts w:ascii="Trebuchet MS" w:hAnsi="Trebuchet MS"/>
          <w:b/>
        </w:rPr>
      </w:pPr>
      <w:r w:rsidRPr="004E5E3D">
        <w:rPr>
          <w:rFonts w:ascii="Trebuchet MS" w:hAnsi="Trebuchet MS"/>
          <w:b/>
        </w:rPr>
        <w:t>Patientenbeteiligung</w:t>
      </w:r>
      <w:r w:rsidR="003B6293" w:rsidRPr="004E5E3D">
        <w:rPr>
          <w:rFonts w:ascii="Trebuchet MS" w:hAnsi="Trebuchet MS"/>
          <w:b/>
        </w:rPr>
        <w:t xml:space="preserve"> bei der Festlegung der notwendigen Inhalte der elektr</w:t>
      </w:r>
      <w:r w:rsidR="003B6293" w:rsidRPr="004E5E3D">
        <w:rPr>
          <w:rFonts w:ascii="Trebuchet MS" w:hAnsi="Trebuchet MS"/>
          <w:b/>
        </w:rPr>
        <w:t>o</w:t>
      </w:r>
      <w:r w:rsidR="003B6293" w:rsidRPr="004E5E3D">
        <w:rPr>
          <w:rFonts w:ascii="Trebuchet MS" w:hAnsi="Trebuchet MS"/>
          <w:b/>
        </w:rPr>
        <w:t>nischen Patientenakte</w:t>
      </w:r>
    </w:p>
    <w:p w:rsidR="002D17EF" w:rsidRPr="004E5E3D" w:rsidRDefault="002D17EF" w:rsidP="004E5E3D">
      <w:pPr>
        <w:spacing w:line="360" w:lineRule="auto"/>
        <w:ind w:right="193"/>
        <w:rPr>
          <w:rFonts w:ascii="Trebuchet MS" w:hAnsi="Trebuchet MS"/>
        </w:rPr>
      </w:pPr>
    </w:p>
    <w:p w:rsidR="0070704C" w:rsidRPr="004E5E3D" w:rsidRDefault="0070704C" w:rsidP="004E5E3D">
      <w:pPr>
        <w:spacing w:line="360" w:lineRule="auto"/>
        <w:ind w:right="193"/>
        <w:rPr>
          <w:rFonts w:ascii="Trebuchet MS" w:hAnsi="Trebuchet MS"/>
        </w:rPr>
      </w:pPr>
      <w:r w:rsidRPr="004E5E3D">
        <w:rPr>
          <w:rFonts w:ascii="Trebuchet MS" w:hAnsi="Trebuchet MS"/>
        </w:rPr>
        <w:t>§ 291h Absatz 3 sieht vor, dass die Kassenärztliche Bundesvereinigung im Benehmen mit den übrigen Spitzenorganisationen nach § 291a Absatz 7 Satz 1 die notwendigen Festlegungen für die Inhalte der elektronischen Patientenakte trifft. Diese Festlegu</w:t>
      </w:r>
      <w:r w:rsidRPr="004E5E3D">
        <w:rPr>
          <w:rFonts w:ascii="Trebuchet MS" w:hAnsi="Trebuchet MS"/>
        </w:rPr>
        <w:t>n</w:t>
      </w:r>
      <w:r w:rsidRPr="004E5E3D">
        <w:rPr>
          <w:rFonts w:ascii="Trebuchet MS" w:hAnsi="Trebuchet MS"/>
        </w:rPr>
        <w:t xml:space="preserve">gen betreffen die Bereitstellung von Daten der Versicherten bzw. Patienten für Ärzte, Apotheker, aber auch für Zwecke der medizinischen Forschung. Gerade letzteres kann je nach Forschungsvorhaben und Rückmeldung auch Konsequenzen im sozialrechtlichen oder finanziellen Lebensbereich der Patienten bzw. Versicherten haben. Um hier bei der Ausgestaltung die Patientensicht und deren Lebensrealität zu berücksichtigen, sind in § 291h Absatz 3 Satz 1 </w:t>
      </w:r>
      <w:r w:rsidR="004E5E3D">
        <w:rPr>
          <w:rFonts w:ascii="Trebuchet MS" w:hAnsi="Trebuchet MS"/>
        </w:rPr>
        <w:t>unbedingt die Patientenbeteiligung</w:t>
      </w:r>
      <w:r w:rsidRPr="004E5E3D">
        <w:rPr>
          <w:rFonts w:ascii="Trebuchet MS" w:hAnsi="Trebuchet MS"/>
        </w:rPr>
        <w:t xml:space="preserve"> gemäß § 140f SGB V</w:t>
      </w:r>
      <w:r w:rsidR="004E5E3D">
        <w:rPr>
          <w:rFonts w:ascii="Trebuchet MS" w:hAnsi="Trebuchet MS"/>
        </w:rPr>
        <w:t xml:space="preserve"> s</w:t>
      </w:r>
      <w:r w:rsidR="004E5E3D">
        <w:rPr>
          <w:rFonts w:ascii="Trebuchet MS" w:hAnsi="Trebuchet MS"/>
        </w:rPr>
        <w:t>i</w:t>
      </w:r>
      <w:r w:rsidR="004E5E3D">
        <w:rPr>
          <w:rFonts w:ascii="Trebuchet MS" w:hAnsi="Trebuchet MS"/>
        </w:rPr>
        <w:t>cherzustellen und die</w:t>
      </w:r>
      <w:r w:rsidRPr="004E5E3D">
        <w:rPr>
          <w:rFonts w:ascii="Trebuchet MS" w:hAnsi="Trebuchet MS"/>
        </w:rPr>
        <w:t xml:space="preserve"> Patientenbeteiligungsverordnung</w:t>
      </w:r>
      <w:r w:rsidR="004E5E3D">
        <w:rPr>
          <w:rFonts w:ascii="Trebuchet MS" w:hAnsi="Trebuchet MS"/>
        </w:rPr>
        <w:t xml:space="preserve"> entsprechend</w:t>
      </w:r>
      <w:r w:rsidRPr="004E5E3D">
        <w:rPr>
          <w:rFonts w:ascii="Trebuchet MS" w:hAnsi="Trebuchet MS"/>
        </w:rPr>
        <w:t xml:space="preserve"> zu ergänzen.</w:t>
      </w:r>
    </w:p>
    <w:p w:rsidR="0070704C" w:rsidRPr="004E5E3D" w:rsidRDefault="0070704C" w:rsidP="004E5E3D">
      <w:pPr>
        <w:spacing w:line="360" w:lineRule="auto"/>
        <w:rPr>
          <w:rFonts w:ascii="Trebuchet MS" w:hAnsi="Trebuchet MS"/>
        </w:rPr>
      </w:pPr>
    </w:p>
    <w:p w:rsidR="00DE6DF2" w:rsidRPr="004E5E3D" w:rsidRDefault="00DE6DF2" w:rsidP="004E5E3D">
      <w:pPr>
        <w:pStyle w:val="Listenabsatz"/>
        <w:numPr>
          <w:ilvl w:val="0"/>
          <w:numId w:val="14"/>
        </w:numPr>
        <w:rPr>
          <w:rFonts w:ascii="Trebuchet MS" w:hAnsi="Trebuchet MS"/>
          <w:b/>
          <w:bCs/>
        </w:rPr>
      </w:pPr>
      <w:r w:rsidRPr="004E5E3D">
        <w:rPr>
          <w:rFonts w:ascii="Trebuchet MS" w:hAnsi="Trebuchet MS"/>
          <w:b/>
          <w:bCs/>
        </w:rPr>
        <w:t>Elektronische Verordnung bei Heil- und Hilfsmitteln (§ 302 SGB V)</w:t>
      </w:r>
    </w:p>
    <w:p w:rsidR="00DE6DF2" w:rsidRPr="008A431E" w:rsidRDefault="00DE6DF2" w:rsidP="00DE6DF2">
      <w:pPr>
        <w:rPr>
          <w:rFonts w:ascii="Trebuchet MS" w:hAnsi="Trebuchet MS"/>
        </w:rPr>
      </w:pPr>
    </w:p>
    <w:p w:rsidR="00DE6DF2" w:rsidRPr="008A431E" w:rsidRDefault="00DE6DF2" w:rsidP="00DE6DF2">
      <w:pPr>
        <w:spacing w:line="360" w:lineRule="auto"/>
        <w:rPr>
          <w:rFonts w:ascii="Trebuchet MS" w:hAnsi="Trebuchet MS"/>
        </w:rPr>
      </w:pPr>
      <w:r w:rsidRPr="008A431E">
        <w:rPr>
          <w:rFonts w:ascii="Trebuchet MS" w:hAnsi="Trebuchet MS"/>
        </w:rPr>
        <w:t>Auch hier ist aus der Sicht der BAG SELBSTHILFE zwingend die Barrierefreiheit der Ang</w:t>
      </w:r>
      <w:r w:rsidRPr="008A431E">
        <w:rPr>
          <w:rFonts w:ascii="Trebuchet MS" w:hAnsi="Trebuchet MS"/>
        </w:rPr>
        <w:t>e</w:t>
      </w:r>
      <w:r w:rsidRPr="008A431E">
        <w:rPr>
          <w:rFonts w:ascii="Trebuchet MS" w:hAnsi="Trebuchet MS"/>
        </w:rPr>
        <w:t xml:space="preserve">bote vorzusehen; dies gilt auch dahingehend, dass die Angebote so gestaltet werden müssen, dass auch Menschen mit kognitiven Einschränkungen nutzen können. Vor diesem Hintergrund erscheint es wichtig, dass die maßgeblichen Patientenorganisationen an den </w:t>
      </w:r>
      <w:r w:rsidRPr="008A431E">
        <w:rPr>
          <w:rFonts w:ascii="Trebuchet MS" w:hAnsi="Trebuchet MS"/>
        </w:rPr>
        <w:lastRenderedPageBreak/>
        <w:t>Vereinbarungen zur Verordnung in elektronischer Form beteiligt werden. Es ist zudem sicherzustellen, dass Patientinnen und Patienten nach wie vor Papierrezepte erhalten, da gerade im Bereich der Heil- und Hilfsmittelversorgung Patientinnen und Patienten betroffen sein werden, die wenig technikaffin sind.</w:t>
      </w:r>
    </w:p>
    <w:p w:rsidR="00DE6DF2" w:rsidRDefault="00DE6DF2" w:rsidP="00DE6DF2">
      <w:r>
        <w:t xml:space="preserve"> </w:t>
      </w:r>
    </w:p>
    <w:p w:rsidR="00DE6DF2" w:rsidRDefault="00DE6DF2" w:rsidP="000B6BB5"/>
    <w:p w:rsidR="004A03FC" w:rsidRPr="004E5E3D" w:rsidRDefault="004A03FC" w:rsidP="004E5E3D">
      <w:pPr>
        <w:pStyle w:val="Listenabsatz"/>
        <w:numPr>
          <w:ilvl w:val="0"/>
          <w:numId w:val="14"/>
        </w:numPr>
        <w:rPr>
          <w:rFonts w:ascii="Trebuchet MS" w:hAnsi="Trebuchet MS"/>
          <w:b/>
          <w:bCs/>
        </w:rPr>
      </w:pPr>
      <w:r w:rsidRPr="004E5E3D">
        <w:rPr>
          <w:rFonts w:ascii="Trebuchet MS" w:hAnsi="Trebuchet MS"/>
          <w:b/>
        </w:rPr>
        <w:t>Aufklärung bei telemedizinischer Behandlung (§ 630e BGB)</w:t>
      </w:r>
    </w:p>
    <w:p w:rsidR="004A03FC" w:rsidRPr="004E5E3D" w:rsidRDefault="004A03FC" w:rsidP="004E5E3D">
      <w:pPr>
        <w:spacing w:line="360" w:lineRule="auto"/>
        <w:rPr>
          <w:rFonts w:ascii="Trebuchet MS" w:hAnsi="Trebuchet MS"/>
        </w:rPr>
      </w:pPr>
    </w:p>
    <w:p w:rsidR="004A03FC" w:rsidRPr="004E5E3D" w:rsidRDefault="004A03FC" w:rsidP="004E5E3D">
      <w:pPr>
        <w:spacing w:line="360" w:lineRule="auto"/>
        <w:rPr>
          <w:rFonts w:ascii="Trebuchet MS" w:hAnsi="Trebuchet MS"/>
        </w:rPr>
      </w:pPr>
      <w:r w:rsidRPr="004E5E3D">
        <w:rPr>
          <w:rFonts w:ascii="Trebuchet MS" w:hAnsi="Trebuchet MS"/>
        </w:rPr>
        <w:t xml:space="preserve">Die BAG SELBSTHILFE sieht die Regelung vor allem im Hinblick auf die Dokumentation </w:t>
      </w:r>
      <w:r w:rsidR="001B0988" w:rsidRPr="004E5E3D">
        <w:rPr>
          <w:rFonts w:ascii="Trebuchet MS" w:hAnsi="Trebuchet MS"/>
        </w:rPr>
        <w:t xml:space="preserve">der Aufklärung </w:t>
      </w:r>
      <w:r w:rsidRPr="004E5E3D">
        <w:rPr>
          <w:rFonts w:ascii="Trebuchet MS" w:hAnsi="Trebuchet MS"/>
        </w:rPr>
        <w:t>kritisch. Die Aufklärung muss durch eine Dokumentation der Einwilligung auf dem Aufklärungsbogen nachgewiesen werden. Es bleibt völlig unklar, wie dies bei einer fernmündlichen Aufklärung bewerkstelligt werden soll. Die Änderung von § 630e BGB schafft eine nicht hinzunehmende Rechtsunsicherheit.</w:t>
      </w:r>
      <w:r w:rsidR="001B0988" w:rsidRPr="004E5E3D">
        <w:rPr>
          <w:rFonts w:ascii="Trebuchet MS" w:hAnsi="Trebuchet MS"/>
        </w:rPr>
        <w:t xml:space="preserve"> Insgesamt sollten – wegen der erhöhten Gefahren für die sensiblen Gesundheitsdaten der Patientinnen und Patie</w:t>
      </w:r>
      <w:r w:rsidR="001B0988" w:rsidRPr="004E5E3D">
        <w:rPr>
          <w:rFonts w:ascii="Trebuchet MS" w:hAnsi="Trebuchet MS"/>
        </w:rPr>
        <w:t>n</w:t>
      </w:r>
      <w:r w:rsidR="001B0988" w:rsidRPr="004E5E3D">
        <w:rPr>
          <w:rFonts w:ascii="Trebuchet MS" w:hAnsi="Trebuchet MS"/>
        </w:rPr>
        <w:t>ten – besondere Aufklärungs- und Informationspflichten gesetzlich verankert werden.</w:t>
      </w:r>
    </w:p>
    <w:p w:rsidR="004A03FC" w:rsidRDefault="004A03FC" w:rsidP="004E5E3D">
      <w:pPr>
        <w:spacing w:line="360" w:lineRule="auto"/>
        <w:rPr>
          <w:rFonts w:ascii="Trebuchet MS" w:hAnsi="Trebuchet MS"/>
        </w:rPr>
      </w:pPr>
    </w:p>
    <w:p w:rsidR="00527953" w:rsidRPr="004E5E3D" w:rsidRDefault="00527953" w:rsidP="004E5E3D">
      <w:pPr>
        <w:spacing w:line="360" w:lineRule="auto"/>
        <w:rPr>
          <w:rFonts w:ascii="Trebuchet MS" w:hAnsi="Trebuchet MS"/>
        </w:rPr>
      </w:pPr>
      <w:r>
        <w:rPr>
          <w:rFonts w:ascii="Trebuchet MS" w:hAnsi="Trebuchet MS"/>
        </w:rPr>
        <w:t>Berlin/ Düsseldorf, den 7. Juni 2019</w:t>
      </w:r>
    </w:p>
    <w:sectPr w:rsidR="00527953" w:rsidRPr="004E5E3D" w:rsidSect="008E792B">
      <w:footerReference w:type="default" r:id="rId10"/>
      <w:footerReference w:type="first" r:id="rId11"/>
      <w:pgSz w:w="11906" w:h="16838"/>
      <w:pgMar w:top="1418" w:right="964" w:bottom="1134" w:left="1304" w:header="68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523" w:rsidRDefault="00694523" w:rsidP="00E34EB0">
      <w:r>
        <w:separator/>
      </w:r>
    </w:p>
  </w:endnote>
  <w:endnote w:type="continuationSeparator" w:id="0">
    <w:p w:rsidR="00694523" w:rsidRDefault="00694523" w:rsidP="00E3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lior Com">
    <w:altName w:val="Melior Co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83593"/>
      <w:docPartObj>
        <w:docPartGallery w:val="Page Numbers (Bottom of Page)"/>
        <w:docPartUnique/>
      </w:docPartObj>
    </w:sdtPr>
    <w:sdtEndPr>
      <w:rPr>
        <w:rFonts w:ascii="Trebuchet MS" w:hAnsi="Trebuchet MS"/>
      </w:rPr>
    </w:sdtEndPr>
    <w:sdtContent>
      <w:p w:rsidR="00D33E2F" w:rsidRPr="008E792B" w:rsidRDefault="00D33E2F">
        <w:pPr>
          <w:pStyle w:val="Fuzeile"/>
          <w:jc w:val="right"/>
          <w:rPr>
            <w:rFonts w:ascii="Trebuchet MS" w:hAnsi="Trebuchet MS"/>
          </w:rPr>
        </w:pPr>
        <w:r w:rsidRPr="008E792B">
          <w:rPr>
            <w:rFonts w:ascii="Trebuchet MS" w:hAnsi="Trebuchet MS"/>
          </w:rPr>
          <w:fldChar w:fldCharType="begin"/>
        </w:r>
        <w:r w:rsidRPr="008E792B">
          <w:rPr>
            <w:rFonts w:ascii="Trebuchet MS" w:hAnsi="Trebuchet MS"/>
          </w:rPr>
          <w:instrText>PAGE   \* MERGEFORMAT</w:instrText>
        </w:r>
        <w:r w:rsidRPr="008E792B">
          <w:rPr>
            <w:rFonts w:ascii="Trebuchet MS" w:hAnsi="Trebuchet MS"/>
          </w:rPr>
          <w:fldChar w:fldCharType="separate"/>
        </w:r>
        <w:r w:rsidR="00AC4219">
          <w:rPr>
            <w:rFonts w:ascii="Trebuchet MS" w:hAnsi="Trebuchet MS"/>
            <w:noProof/>
          </w:rPr>
          <w:t>10</w:t>
        </w:r>
        <w:r w:rsidRPr="008E792B">
          <w:rPr>
            <w:rFonts w:ascii="Trebuchet MS" w:hAnsi="Trebuchet MS"/>
          </w:rPr>
          <w:fldChar w:fldCharType="end"/>
        </w:r>
      </w:p>
    </w:sdtContent>
  </w:sdt>
  <w:p w:rsidR="00D33E2F" w:rsidRDefault="00D33E2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540110"/>
      <w:docPartObj>
        <w:docPartGallery w:val="Page Numbers (Bottom of Page)"/>
        <w:docPartUnique/>
      </w:docPartObj>
    </w:sdtPr>
    <w:sdtEndPr/>
    <w:sdtContent>
      <w:p w:rsidR="00D33E2F" w:rsidRDefault="00D33E2F">
        <w:pPr>
          <w:pStyle w:val="Fuzeile"/>
          <w:jc w:val="right"/>
        </w:pPr>
        <w:r>
          <w:fldChar w:fldCharType="begin"/>
        </w:r>
        <w:r>
          <w:instrText>PAGE   \* MERGEFORMAT</w:instrText>
        </w:r>
        <w:r>
          <w:fldChar w:fldCharType="separate"/>
        </w:r>
        <w:r>
          <w:rPr>
            <w:noProof/>
          </w:rPr>
          <w:t>1</w:t>
        </w:r>
        <w:r>
          <w:fldChar w:fldCharType="end"/>
        </w:r>
      </w:p>
    </w:sdtContent>
  </w:sdt>
  <w:p w:rsidR="00D33E2F" w:rsidRDefault="00D33E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523" w:rsidRDefault="00694523" w:rsidP="00E34EB0">
      <w:r>
        <w:separator/>
      </w:r>
    </w:p>
  </w:footnote>
  <w:footnote w:type="continuationSeparator" w:id="0">
    <w:p w:rsidR="00694523" w:rsidRDefault="00694523" w:rsidP="00E34EB0">
      <w:r>
        <w:continuationSeparator/>
      </w:r>
    </w:p>
  </w:footnote>
  <w:footnote w:id="1">
    <w:p w:rsidR="00D33E2F" w:rsidRDefault="00D33E2F" w:rsidP="00B94849">
      <w:pPr>
        <w:autoSpaceDE w:val="0"/>
        <w:autoSpaceDN w:val="0"/>
        <w:adjustRightInd w:val="0"/>
      </w:pPr>
      <w:r>
        <w:rPr>
          <w:rStyle w:val="Funotenzeichen"/>
        </w:rPr>
        <w:footnoteRef/>
      </w:r>
      <w:r>
        <w:t xml:space="preserve"> </w:t>
      </w:r>
      <w:r>
        <w:rPr>
          <w:sz w:val="20"/>
        </w:rPr>
        <w:t xml:space="preserve">Quelle: Astor M. et al (2019): Teilbericht über die erste Evaluationsphase: Gesamtevaluation des Innovationsfonds; Wissenschaftliche Auswertung der Förderung aus dem Innovationsfonds gem. § 92a Abs. 5 SGB V; </w:t>
      </w:r>
      <w:proofErr w:type="spellStart"/>
      <w:r>
        <w:rPr>
          <w:sz w:val="20"/>
        </w:rPr>
        <w:t>Prognos</w:t>
      </w:r>
      <w:proofErr w:type="spellEnd"/>
      <w:r>
        <w:rPr>
          <w:sz w:val="20"/>
        </w:rPr>
        <w:t xml:space="preserve"> AG im Auftrag des Bundesministeriums für Gesundheit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78CC"/>
    <w:multiLevelType w:val="hybridMultilevel"/>
    <w:tmpl w:val="3F5CF99C"/>
    <w:lvl w:ilvl="0" w:tplc="9C5C00D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4BF11DE"/>
    <w:multiLevelType w:val="hybridMultilevel"/>
    <w:tmpl w:val="8FD6A8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C006180"/>
    <w:multiLevelType w:val="hybridMultilevel"/>
    <w:tmpl w:val="64A47F1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DD5326B"/>
    <w:multiLevelType w:val="hybridMultilevel"/>
    <w:tmpl w:val="F85EF4F6"/>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F954438"/>
    <w:multiLevelType w:val="hybridMultilevel"/>
    <w:tmpl w:val="C44646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5CB25E6"/>
    <w:multiLevelType w:val="hybridMultilevel"/>
    <w:tmpl w:val="416AF98C"/>
    <w:lvl w:ilvl="0" w:tplc="F3B0502C">
      <w:start w:val="1"/>
      <w:numFmt w:val="lowerLetter"/>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2FA20AD1"/>
    <w:multiLevelType w:val="hybridMultilevel"/>
    <w:tmpl w:val="3F724736"/>
    <w:lvl w:ilvl="0" w:tplc="04070017">
      <w:start w:val="1"/>
      <w:numFmt w:val="lowerLetter"/>
      <w:lvlText w:val="%1)"/>
      <w:lvlJc w:val="left"/>
      <w:pPr>
        <w:ind w:left="927" w:hanging="360"/>
      </w:pPr>
      <w:rPr>
        <w:rFont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nsid w:val="32291C95"/>
    <w:multiLevelType w:val="hybridMultilevel"/>
    <w:tmpl w:val="5ADABCF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CF84701"/>
    <w:multiLevelType w:val="hybridMultilevel"/>
    <w:tmpl w:val="31C0F8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EBD1339"/>
    <w:multiLevelType w:val="hybridMultilevel"/>
    <w:tmpl w:val="1D8E1EAC"/>
    <w:lvl w:ilvl="0" w:tplc="7014106A">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58E29DD"/>
    <w:multiLevelType w:val="hybridMultilevel"/>
    <w:tmpl w:val="EB18824C"/>
    <w:lvl w:ilvl="0" w:tplc="3AF683B4">
      <w:start w:val="1"/>
      <w:numFmt w:val="upperRoman"/>
      <w:lvlText w:val="%1."/>
      <w:lvlJc w:val="left"/>
      <w:pPr>
        <w:ind w:left="360" w:hanging="360"/>
      </w:pPr>
      <w:rPr>
        <w:rFonts w:ascii="Trebuchet MS" w:eastAsia="Times New Roman" w:hAnsi="Trebuchet MS" w:cs="Times New Roman"/>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46DD5E61"/>
    <w:multiLevelType w:val="hybridMultilevel"/>
    <w:tmpl w:val="37809F8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57363B9"/>
    <w:multiLevelType w:val="hybridMultilevel"/>
    <w:tmpl w:val="37809F8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80A4B15"/>
    <w:multiLevelType w:val="hybridMultilevel"/>
    <w:tmpl w:val="1F0ED14E"/>
    <w:lvl w:ilvl="0" w:tplc="467E9EA8">
      <w:start w:val="5"/>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65315C41"/>
    <w:multiLevelType w:val="hybridMultilevel"/>
    <w:tmpl w:val="8FD6A8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1C740D4"/>
    <w:multiLevelType w:val="hybridMultilevel"/>
    <w:tmpl w:val="114044BC"/>
    <w:lvl w:ilvl="0" w:tplc="87F2F128">
      <w:start w:val="19"/>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76171CBF"/>
    <w:multiLevelType w:val="hybridMultilevel"/>
    <w:tmpl w:val="46720450"/>
    <w:lvl w:ilvl="0" w:tplc="E26E484E">
      <w:start w:val="1"/>
      <w:numFmt w:val="lowerLetter"/>
      <w:lvlText w:val="%1."/>
      <w:lvlJc w:val="left"/>
      <w:pPr>
        <w:ind w:left="720" w:hanging="36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B1C3039"/>
    <w:multiLevelType w:val="hybridMultilevel"/>
    <w:tmpl w:val="6550410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9"/>
  </w:num>
  <w:num w:numId="5">
    <w:abstractNumId w:val="0"/>
  </w:num>
  <w:num w:numId="6">
    <w:abstractNumId w:val="14"/>
  </w:num>
  <w:num w:numId="7">
    <w:abstractNumId w:val="1"/>
  </w:num>
  <w:num w:numId="8">
    <w:abstractNumId w:val="13"/>
  </w:num>
  <w:num w:numId="9">
    <w:abstractNumId w:val="15"/>
  </w:num>
  <w:num w:numId="10">
    <w:abstractNumId w:val="8"/>
  </w:num>
  <w:num w:numId="11">
    <w:abstractNumId w:val="17"/>
  </w:num>
  <w:num w:numId="12">
    <w:abstractNumId w:val="16"/>
  </w:num>
  <w:num w:numId="13">
    <w:abstractNumId w:val="11"/>
  </w:num>
  <w:num w:numId="14">
    <w:abstractNumId w:val="7"/>
  </w:num>
  <w:num w:numId="15">
    <w:abstractNumId w:val="12"/>
  </w:num>
  <w:num w:numId="16">
    <w:abstractNumId w:val="3"/>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21"/>
    <w:rsid w:val="00001242"/>
    <w:rsid w:val="00003900"/>
    <w:rsid w:val="000125F5"/>
    <w:rsid w:val="0002245C"/>
    <w:rsid w:val="000242BB"/>
    <w:rsid w:val="00025CFA"/>
    <w:rsid w:val="000377B6"/>
    <w:rsid w:val="00056BFE"/>
    <w:rsid w:val="000A5388"/>
    <w:rsid w:val="000B6BB5"/>
    <w:rsid w:val="000B79C6"/>
    <w:rsid w:val="000D2646"/>
    <w:rsid w:val="000D621B"/>
    <w:rsid w:val="000D7E20"/>
    <w:rsid w:val="00100F02"/>
    <w:rsid w:val="0014070C"/>
    <w:rsid w:val="00147110"/>
    <w:rsid w:val="001911AA"/>
    <w:rsid w:val="001A0E08"/>
    <w:rsid w:val="001A5A81"/>
    <w:rsid w:val="001B0988"/>
    <w:rsid w:val="001E4763"/>
    <w:rsid w:val="00264BEC"/>
    <w:rsid w:val="002B6644"/>
    <w:rsid w:val="002D17EF"/>
    <w:rsid w:val="002D1EBB"/>
    <w:rsid w:val="002D6D90"/>
    <w:rsid w:val="002F2216"/>
    <w:rsid w:val="002F53E7"/>
    <w:rsid w:val="00320ACA"/>
    <w:rsid w:val="0034437B"/>
    <w:rsid w:val="003464A7"/>
    <w:rsid w:val="00351615"/>
    <w:rsid w:val="00370583"/>
    <w:rsid w:val="00394E49"/>
    <w:rsid w:val="003B6293"/>
    <w:rsid w:val="003C37F3"/>
    <w:rsid w:val="0041315F"/>
    <w:rsid w:val="004154B3"/>
    <w:rsid w:val="00426F8C"/>
    <w:rsid w:val="004314C0"/>
    <w:rsid w:val="00476E5A"/>
    <w:rsid w:val="004945A3"/>
    <w:rsid w:val="004A03FC"/>
    <w:rsid w:val="004D0C6A"/>
    <w:rsid w:val="004D27F7"/>
    <w:rsid w:val="004D7142"/>
    <w:rsid w:val="004E5E3D"/>
    <w:rsid w:val="004E688F"/>
    <w:rsid w:val="004F4857"/>
    <w:rsid w:val="0052049B"/>
    <w:rsid w:val="00527953"/>
    <w:rsid w:val="00577870"/>
    <w:rsid w:val="005B1576"/>
    <w:rsid w:val="005B2225"/>
    <w:rsid w:val="005B42CD"/>
    <w:rsid w:val="005C2766"/>
    <w:rsid w:val="005C3621"/>
    <w:rsid w:val="005F62CE"/>
    <w:rsid w:val="00606101"/>
    <w:rsid w:val="00667092"/>
    <w:rsid w:val="00680723"/>
    <w:rsid w:val="00685996"/>
    <w:rsid w:val="00690726"/>
    <w:rsid w:val="00694523"/>
    <w:rsid w:val="006A19AE"/>
    <w:rsid w:val="006A4D7C"/>
    <w:rsid w:val="006A5B44"/>
    <w:rsid w:val="006A649E"/>
    <w:rsid w:val="006B6F67"/>
    <w:rsid w:val="006D50D3"/>
    <w:rsid w:val="0070704C"/>
    <w:rsid w:val="00720082"/>
    <w:rsid w:val="00744643"/>
    <w:rsid w:val="007821FF"/>
    <w:rsid w:val="00795104"/>
    <w:rsid w:val="007B7B24"/>
    <w:rsid w:val="007F121C"/>
    <w:rsid w:val="00806F21"/>
    <w:rsid w:val="008730F1"/>
    <w:rsid w:val="0088640A"/>
    <w:rsid w:val="008A431E"/>
    <w:rsid w:val="008E5A92"/>
    <w:rsid w:val="008E792B"/>
    <w:rsid w:val="0091530E"/>
    <w:rsid w:val="00A157EE"/>
    <w:rsid w:val="00A2077F"/>
    <w:rsid w:val="00A20D55"/>
    <w:rsid w:val="00A3652A"/>
    <w:rsid w:val="00A5043E"/>
    <w:rsid w:val="00A64CF4"/>
    <w:rsid w:val="00AC3102"/>
    <w:rsid w:val="00AC4219"/>
    <w:rsid w:val="00AE1D76"/>
    <w:rsid w:val="00B415D1"/>
    <w:rsid w:val="00B94849"/>
    <w:rsid w:val="00BB0605"/>
    <w:rsid w:val="00BD45B5"/>
    <w:rsid w:val="00BF0C0F"/>
    <w:rsid w:val="00C21457"/>
    <w:rsid w:val="00C23C11"/>
    <w:rsid w:val="00C5715D"/>
    <w:rsid w:val="00C715B5"/>
    <w:rsid w:val="00CB2506"/>
    <w:rsid w:val="00CB610D"/>
    <w:rsid w:val="00CC052C"/>
    <w:rsid w:val="00D16EB5"/>
    <w:rsid w:val="00D33E2F"/>
    <w:rsid w:val="00D35401"/>
    <w:rsid w:val="00D44FFE"/>
    <w:rsid w:val="00D456DF"/>
    <w:rsid w:val="00D70F37"/>
    <w:rsid w:val="00D81D5A"/>
    <w:rsid w:val="00DA2022"/>
    <w:rsid w:val="00DE6DF2"/>
    <w:rsid w:val="00DF23D2"/>
    <w:rsid w:val="00DF2702"/>
    <w:rsid w:val="00E148F7"/>
    <w:rsid w:val="00E14D51"/>
    <w:rsid w:val="00E160B2"/>
    <w:rsid w:val="00E34EB0"/>
    <w:rsid w:val="00E37F59"/>
    <w:rsid w:val="00E5722D"/>
    <w:rsid w:val="00EC52C1"/>
    <w:rsid w:val="00F21978"/>
    <w:rsid w:val="00F2335B"/>
    <w:rsid w:val="00F6157B"/>
    <w:rsid w:val="00F869B2"/>
    <w:rsid w:val="00FF6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3621"/>
    <w:rPr>
      <w:rFonts w:ascii="Times New Roman" w:eastAsia="Times New Roman" w:hAnsi="Times New Roman" w:cs="Times New Roman"/>
      <w:szCs w:val="24"/>
      <w:lang w:eastAsia="de-DE"/>
    </w:rPr>
  </w:style>
  <w:style w:type="paragraph" w:styleId="berschrift1">
    <w:name w:val="heading 1"/>
    <w:basedOn w:val="Standard"/>
    <w:next w:val="Standard"/>
    <w:link w:val="berschrift1Zchn"/>
    <w:uiPriority w:val="9"/>
    <w:qFormat/>
    <w:rsid w:val="000B6BB5"/>
    <w:pPr>
      <w:keepNext/>
      <w:keepLines/>
      <w:spacing w:before="240" w:after="240"/>
      <w:outlineLvl w:val="0"/>
    </w:pPr>
    <w:rPr>
      <w:rFonts w:ascii="Verdana" w:eastAsiaTheme="majorEastAsia" w:hAnsi="Verdana" w:cstheme="majorBidi"/>
      <w:b/>
      <w:bCs/>
      <w:sz w:val="27"/>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C3621"/>
    <w:pPr>
      <w:autoSpaceDE w:val="0"/>
      <w:autoSpaceDN w:val="0"/>
      <w:adjustRightInd w:val="0"/>
    </w:pPr>
    <w:rPr>
      <w:rFonts w:ascii="INPOO G+ Times New" w:eastAsia="Times New Roman" w:hAnsi="INPOO G+ Times New" w:cs="INPOO G+ Times New"/>
      <w:color w:val="000000"/>
      <w:szCs w:val="24"/>
      <w:lang w:eastAsia="de-DE"/>
    </w:rPr>
  </w:style>
  <w:style w:type="paragraph" w:styleId="Sprechblasentext">
    <w:name w:val="Balloon Text"/>
    <w:basedOn w:val="Standard"/>
    <w:link w:val="SprechblasentextZchn"/>
    <w:uiPriority w:val="99"/>
    <w:semiHidden/>
    <w:unhideWhenUsed/>
    <w:rsid w:val="005C36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3621"/>
    <w:rPr>
      <w:rFonts w:ascii="Tahoma" w:eastAsia="Times New Roman" w:hAnsi="Tahoma" w:cs="Tahoma"/>
      <w:sz w:val="16"/>
      <w:szCs w:val="16"/>
      <w:lang w:eastAsia="de-DE"/>
    </w:rPr>
  </w:style>
  <w:style w:type="paragraph" w:styleId="Listenabsatz">
    <w:name w:val="List Paragraph"/>
    <w:basedOn w:val="Standard"/>
    <w:uiPriority w:val="34"/>
    <w:qFormat/>
    <w:rsid w:val="007821FF"/>
    <w:pPr>
      <w:ind w:left="720"/>
      <w:contextualSpacing/>
    </w:pPr>
  </w:style>
  <w:style w:type="paragraph" w:styleId="Kopfzeile">
    <w:name w:val="header"/>
    <w:basedOn w:val="Standard"/>
    <w:link w:val="KopfzeileZchn"/>
    <w:uiPriority w:val="99"/>
    <w:unhideWhenUsed/>
    <w:rsid w:val="00E34EB0"/>
    <w:pPr>
      <w:tabs>
        <w:tab w:val="center" w:pos="4536"/>
        <w:tab w:val="right" w:pos="9072"/>
      </w:tabs>
    </w:pPr>
  </w:style>
  <w:style w:type="character" w:customStyle="1" w:styleId="KopfzeileZchn">
    <w:name w:val="Kopfzeile Zchn"/>
    <w:basedOn w:val="Absatz-Standardschriftart"/>
    <w:link w:val="Kopfzeile"/>
    <w:uiPriority w:val="99"/>
    <w:rsid w:val="00E34EB0"/>
    <w:rPr>
      <w:rFonts w:ascii="Times New Roman" w:eastAsia="Times New Roman" w:hAnsi="Times New Roman" w:cs="Times New Roman"/>
      <w:szCs w:val="24"/>
      <w:lang w:eastAsia="de-DE"/>
    </w:rPr>
  </w:style>
  <w:style w:type="paragraph" w:styleId="Fuzeile">
    <w:name w:val="footer"/>
    <w:basedOn w:val="Standard"/>
    <w:link w:val="FuzeileZchn"/>
    <w:uiPriority w:val="99"/>
    <w:unhideWhenUsed/>
    <w:rsid w:val="00E34EB0"/>
    <w:pPr>
      <w:tabs>
        <w:tab w:val="center" w:pos="4536"/>
        <w:tab w:val="right" w:pos="9072"/>
      </w:tabs>
    </w:pPr>
  </w:style>
  <w:style w:type="character" w:customStyle="1" w:styleId="FuzeileZchn">
    <w:name w:val="Fußzeile Zchn"/>
    <w:basedOn w:val="Absatz-Standardschriftart"/>
    <w:link w:val="Fuzeile"/>
    <w:uiPriority w:val="99"/>
    <w:rsid w:val="00E34EB0"/>
    <w:rPr>
      <w:rFonts w:ascii="Times New Roman" w:eastAsia="Times New Roman" w:hAnsi="Times New Roman" w:cs="Times New Roman"/>
      <w:szCs w:val="24"/>
      <w:lang w:eastAsia="de-DE"/>
    </w:rPr>
  </w:style>
  <w:style w:type="paragraph" w:styleId="Funotentext">
    <w:name w:val="footnote text"/>
    <w:basedOn w:val="Standard"/>
    <w:link w:val="FunotentextZchn"/>
    <w:uiPriority w:val="99"/>
    <w:semiHidden/>
    <w:unhideWhenUsed/>
    <w:rsid w:val="005F62CE"/>
    <w:rPr>
      <w:sz w:val="20"/>
      <w:szCs w:val="20"/>
    </w:rPr>
  </w:style>
  <w:style w:type="character" w:customStyle="1" w:styleId="FunotentextZchn">
    <w:name w:val="Fußnotentext Zchn"/>
    <w:basedOn w:val="Absatz-Standardschriftart"/>
    <w:link w:val="Funotentext"/>
    <w:uiPriority w:val="99"/>
    <w:semiHidden/>
    <w:rsid w:val="005F62CE"/>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5F62CE"/>
    <w:rPr>
      <w:vertAlign w:val="superscript"/>
    </w:rPr>
  </w:style>
  <w:style w:type="character" w:customStyle="1" w:styleId="berschrift1Zchn">
    <w:name w:val="Überschrift 1 Zchn"/>
    <w:basedOn w:val="Absatz-Standardschriftart"/>
    <w:link w:val="berschrift1"/>
    <w:uiPriority w:val="9"/>
    <w:rsid w:val="000B6BB5"/>
    <w:rPr>
      <w:rFonts w:ascii="Verdana" w:eastAsiaTheme="majorEastAsia" w:hAnsi="Verdana" w:cstheme="majorBidi"/>
      <w:b/>
      <w:bCs/>
      <w:sz w:val="27"/>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3621"/>
    <w:rPr>
      <w:rFonts w:ascii="Times New Roman" w:eastAsia="Times New Roman" w:hAnsi="Times New Roman" w:cs="Times New Roman"/>
      <w:szCs w:val="24"/>
      <w:lang w:eastAsia="de-DE"/>
    </w:rPr>
  </w:style>
  <w:style w:type="paragraph" w:styleId="berschrift1">
    <w:name w:val="heading 1"/>
    <w:basedOn w:val="Standard"/>
    <w:next w:val="Standard"/>
    <w:link w:val="berschrift1Zchn"/>
    <w:uiPriority w:val="9"/>
    <w:qFormat/>
    <w:rsid w:val="000B6BB5"/>
    <w:pPr>
      <w:keepNext/>
      <w:keepLines/>
      <w:spacing w:before="240" w:after="240"/>
      <w:outlineLvl w:val="0"/>
    </w:pPr>
    <w:rPr>
      <w:rFonts w:ascii="Verdana" w:eastAsiaTheme="majorEastAsia" w:hAnsi="Verdana" w:cstheme="majorBidi"/>
      <w:b/>
      <w:bCs/>
      <w:sz w:val="27"/>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C3621"/>
    <w:pPr>
      <w:autoSpaceDE w:val="0"/>
      <w:autoSpaceDN w:val="0"/>
      <w:adjustRightInd w:val="0"/>
    </w:pPr>
    <w:rPr>
      <w:rFonts w:ascii="INPOO G+ Times New" w:eastAsia="Times New Roman" w:hAnsi="INPOO G+ Times New" w:cs="INPOO G+ Times New"/>
      <w:color w:val="000000"/>
      <w:szCs w:val="24"/>
      <w:lang w:eastAsia="de-DE"/>
    </w:rPr>
  </w:style>
  <w:style w:type="paragraph" w:styleId="Sprechblasentext">
    <w:name w:val="Balloon Text"/>
    <w:basedOn w:val="Standard"/>
    <w:link w:val="SprechblasentextZchn"/>
    <w:uiPriority w:val="99"/>
    <w:semiHidden/>
    <w:unhideWhenUsed/>
    <w:rsid w:val="005C36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3621"/>
    <w:rPr>
      <w:rFonts w:ascii="Tahoma" w:eastAsia="Times New Roman" w:hAnsi="Tahoma" w:cs="Tahoma"/>
      <w:sz w:val="16"/>
      <w:szCs w:val="16"/>
      <w:lang w:eastAsia="de-DE"/>
    </w:rPr>
  </w:style>
  <w:style w:type="paragraph" w:styleId="Listenabsatz">
    <w:name w:val="List Paragraph"/>
    <w:basedOn w:val="Standard"/>
    <w:uiPriority w:val="34"/>
    <w:qFormat/>
    <w:rsid w:val="007821FF"/>
    <w:pPr>
      <w:ind w:left="720"/>
      <w:contextualSpacing/>
    </w:pPr>
  </w:style>
  <w:style w:type="paragraph" w:styleId="Kopfzeile">
    <w:name w:val="header"/>
    <w:basedOn w:val="Standard"/>
    <w:link w:val="KopfzeileZchn"/>
    <w:uiPriority w:val="99"/>
    <w:unhideWhenUsed/>
    <w:rsid w:val="00E34EB0"/>
    <w:pPr>
      <w:tabs>
        <w:tab w:val="center" w:pos="4536"/>
        <w:tab w:val="right" w:pos="9072"/>
      </w:tabs>
    </w:pPr>
  </w:style>
  <w:style w:type="character" w:customStyle="1" w:styleId="KopfzeileZchn">
    <w:name w:val="Kopfzeile Zchn"/>
    <w:basedOn w:val="Absatz-Standardschriftart"/>
    <w:link w:val="Kopfzeile"/>
    <w:uiPriority w:val="99"/>
    <w:rsid w:val="00E34EB0"/>
    <w:rPr>
      <w:rFonts w:ascii="Times New Roman" w:eastAsia="Times New Roman" w:hAnsi="Times New Roman" w:cs="Times New Roman"/>
      <w:szCs w:val="24"/>
      <w:lang w:eastAsia="de-DE"/>
    </w:rPr>
  </w:style>
  <w:style w:type="paragraph" w:styleId="Fuzeile">
    <w:name w:val="footer"/>
    <w:basedOn w:val="Standard"/>
    <w:link w:val="FuzeileZchn"/>
    <w:uiPriority w:val="99"/>
    <w:unhideWhenUsed/>
    <w:rsid w:val="00E34EB0"/>
    <w:pPr>
      <w:tabs>
        <w:tab w:val="center" w:pos="4536"/>
        <w:tab w:val="right" w:pos="9072"/>
      </w:tabs>
    </w:pPr>
  </w:style>
  <w:style w:type="character" w:customStyle="1" w:styleId="FuzeileZchn">
    <w:name w:val="Fußzeile Zchn"/>
    <w:basedOn w:val="Absatz-Standardschriftart"/>
    <w:link w:val="Fuzeile"/>
    <w:uiPriority w:val="99"/>
    <w:rsid w:val="00E34EB0"/>
    <w:rPr>
      <w:rFonts w:ascii="Times New Roman" w:eastAsia="Times New Roman" w:hAnsi="Times New Roman" w:cs="Times New Roman"/>
      <w:szCs w:val="24"/>
      <w:lang w:eastAsia="de-DE"/>
    </w:rPr>
  </w:style>
  <w:style w:type="paragraph" w:styleId="Funotentext">
    <w:name w:val="footnote text"/>
    <w:basedOn w:val="Standard"/>
    <w:link w:val="FunotentextZchn"/>
    <w:uiPriority w:val="99"/>
    <w:semiHidden/>
    <w:unhideWhenUsed/>
    <w:rsid w:val="005F62CE"/>
    <w:rPr>
      <w:sz w:val="20"/>
      <w:szCs w:val="20"/>
    </w:rPr>
  </w:style>
  <w:style w:type="character" w:customStyle="1" w:styleId="FunotentextZchn">
    <w:name w:val="Fußnotentext Zchn"/>
    <w:basedOn w:val="Absatz-Standardschriftart"/>
    <w:link w:val="Funotentext"/>
    <w:uiPriority w:val="99"/>
    <w:semiHidden/>
    <w:rsid w:val="005F62CE"/>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5F62CE"/>
    <w:rPr>
      <w:vertAlign w:val="superscript"/>
    </w:rPr>
  </w:style>
  <w:style w:type="character" w:customStyle="1" w:styleId="berschrift1Zchn">
    <w:name w:val="Überschrift 1 Zchn"/>
    <w:basedOn w:val="Absatz-Standardschriftart"/>
    <w:link w:val="berschrift1"/>
    <w:uiPriority w:val="9"/>
    <w:rsid w:val="000B6BB5"/>
    <w:rPr>
      <w:rFonts w:ascii="Verdana" w:eastAsiaTheme="majorEastAsia" w:hAnsi="Verdana" w:cstheme="majorBidi"/>
      <w:b/>
      <w:bCs/>
      <w:sz w:val="27"/>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2655">
      <w:bodyDiv w:val="1"/>
      <w:marLeft w:val="0"/>
      <w:marRight w:val="0"/>
      <w:marTop w:val="0"/>
      <w:marBottom w:val="0"/>
      <w:divBdr>
        <w:top w:val="none" w:sz="0" w:space="0" w:color="auto"/>
        <w:left w:val="none" w:sz="0" w:space="0" w:color="auto"/>
        <w:bottom w:val="none" w:sz="0" w:space="0" w:color="auto"/>
        <w:right w:val="none" w:sz="0" w:space="0" w:color="auto"/>
      </w:divBdr>
    </w:div>
    <w:div w:id="695355131">
      <w:bodyDiv w:val="1"/>
      <w:marLeft w:val="0"/>
      <w:marRight w:val="0"/>
      <w:marTop w:val="0"/>
      <w:marBottom w:val="0"/>
      <w:divBdr>
        <w:top w:val="none" w:sz="0" w:space="0" w:color="auto"/>
        <w:left w:val="none" w:sz="0" w:space="0" w:color="auto"/>
        <w:bottom w:val="none" w:sz="0" w:space="0" w:color="auto"/>
        <w:right w:val="none" w:sz="0" w:space="0" w:color="auto"/>
      </w:divBdr>
    </w:div>
    <w:div w:id="1105538035">
      <w:bodyDiv w:val="1"/>
      <w:marLeft w:val="0"/>
      <w:marRight w:val="0"/>
      <w:marTop w:val="0"/>
      <w:marBottom w:val="0"/>
      <w:divBdr>
        <w:top w:val="none" w:sz="0" w:space="0" w:color="auto"/>
        <w:left w:val="none" w:sz="0" w:space="0" w:color="auto"/>
        <w:bottom w:val="none" w:sz="0" w:space="0" w:color="auto"/>
        <w:right w:val="none" w:sz="0" w:space="0" w:color="auto"/>
      </w:divBdr>
    </w:div>
    <w:div w:id="1149977587">
      <w:bodyDiv w:val="1"/>
      <w:marLeft w:val="0"/>
      <w:marRight w:val="0"/>
      <w:marTop w:val="0"/>
      <w:marBottom w:val="0"/>
      <w:divBdr>
        <w:top w:val="none" w:sz="0" w:space="0" w:color="auto"/>
        <w:left w:val="none" w:sz="0" w:space="0" w:color="auto"/>
        <w:bottom w:val="none" w:sz="0" w:space="0" w:color="auto"/>
        <w:right w:val="none" w:sz="0" w:space="0" w:color="auto"/>
      </w:divBdr>
    </w:div>
    <w:div w:id="1536846483">
      <w:bodyDiv w:val="1"/>
      <w:marLeft w:val="0"/>
      <w:marRight w:val="0"/>
      <w:marTop w:val="0"/>
      <w:marBottom w:val="0"/>
      <w:divBdr>
        <w:top w:val="none" w:sz="0" w:space="0" w:color="auto"/>
        <w:left w:val="none" w:sz="0" w:space="0" w:color="auto"/>
        <w:bottom w:val="none" w:sz="0" w:space="0" w:color="auto"/>
        <w:right w:val="none" w:sz="0" w:space="0" w:color="auto"/>
      </w:divBdr>
    </w:div>
    <w:div w:id="203996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1C184-F0BE-4BAE-8B7A-E066E1AB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4668</Words>
  <Characters>29412</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Gruendges</dc:creator>
  <cp:lastModifiedBy>Siiri Doka</cp:lastModifiedBy>
  <cp:revision>7</cp:revision>
  <cp:lastPrinted>2019-06-07T12:04:00Z</cp:lastPrinted>
  <dcterms:created xsi:type="dcterms:W3CDTF">2019-06-06T10:13:00Z</dcterms:created>
  <dcterms:modified xsi:type="dcterms:W3CDTF">2019-06-17T13:29:00Z</dcterms:modified>
</cp:coreProperties>
</file>