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40" w:type="dxa"/>
        <w:tblLook w:val="01E0" w:firstRow="1" w:lastRow="1" w:firstColumn="1" w:lastColumn="1" w:noHBand="0" w:noVBand="0"/>
      </w:tblPr>
      <w:tblGrid>
        <w:gridCol w:w="5229"/>
        <w:gridCol w:w="6211"/>
      </w:tblGrid>
      <w:tr w:rsidR="002612F1" w:rsidRPr="001F2382" w:rsidTr="001318C4">
        <w:trPr>
          <w:trHeight w:val="2153"/>
        </w:trPr>
        <w:tc>
          <w:tcPr>
            <w:tcW w:w="5229" w:type="dxa"/>
          </w:tcPr>
          <w:p w:rsidR="002612F1" w:rsidRPr="003C2C2F" w:rsidRDefault="002612F1" w:rsidP="001318C4">
            <w:pPr>
              <w:rPr>
                <w:rFonts w:ascii="Trebuchet MS" w:eastAsia="Times New Roman" w:hAnsi="Trebuchet MS"/>
                <w:sz w:val="24"/>
                <w:szCs w:val="24"/>
                <w:lang w:eastAsia="de-DE"/>
              </w:rPr>
            </w:pPr>
            <w:r>
              <w:rPr>
                <w:rFonts w:ascii="Trebuchet MS" w:eastAsia="Times New Roman" w:hAnsi="Trebuchet MS"/>
                <w:noProof/>
                <w:sz w:val="24"/>
                <w:szCs w:val="24"/>
                <w:lang w:eastAsia="de-DE"/>
              </w:rPr>
              <w:drawing>
                <wp:inline distT="0" distB="0" distL="0" distR="0" wp14:anchorId="39202772" wp14:editId="21960C2B">
                  <wp:extent cx="1685925" cy="1248410"/>
                  <wp:effectExtent l="0" t="0" r="9525" b="8890"/>
                  <wp:docPr id="1" name="Grafik 1" descr="Beschreibung: Beschreibung: 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Beschreibung: Die Grafik &quot;file:///Z:/Verschiedenes/BAG_Logo.jpg&quot; kann nicht angezeigt werden, weil sie Fehler enthäl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1248410"/>
                          </a:xfrm>
                          <a:prstGeom prst="rect">
                            <a:avLst/>
                          </a:prstGeom>
                          <a:noFill/>
                          <a:ln>
                            <a:noFill/>
                          </a:ln>
                        </pic:spPr>
                      </pic:pic>
                    </a:graphicData>
                  </a:graphic>
                </wp:inline>
              </w:drawing>
            </w:r>
          </w:p>
          <w:p w:rsidR="002612F1" w:rsidRPr="003C2C2F" w:rsidRDefault="002612F1" w:rsidP="001318C4">
            <w:pPr>
              <w:rPr>
                <w:rFonts w:ascii="Trebuchet MS" w:eastAsia="Times New Roman" w:hAnsi="Trebuchet MS"/>
                <w:sz w:val="24"/>
                <w:szCs w:val="24"/>
                <w:lang w:eastAsia="de-DE"/>
              </w:rPr>
            </w:pPr>
          </w:p>
          <w:p w:rsidR="002612F1" w:rsidRPr="003C2C2F" w:rsidRDefault="002612F1" w:rsidP="001318C4">
            <w:pPr>
              <w:rPr>
                <w:rFonts w:ascii="Trebuchet MS" w:eastAsia="Times New Roman" w:hAnsi="Trebuchet MS"/>
                <w:sz w:val="24"/>
                <w:szCs w:val="24"/>
                <w:lang w:eastAsia="de-DE"/>
              </w:rPr>
            </w:pPr>
          </w:p>
        </w:tc>
        <w:tc>
          <w:tcPr>
            <w:tcW w:w="6211" w:type="dxa"/>
          </w:tcPr>
          <w:p w:rsidR="002612F1" w:rsidRPr="003C2C2F" w:rsidRDefault="002612F1" w:rsidP="001318C4">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 xml:space="preserve">BAG SELBSTHILFE </w:t>
            </w:r>
          </w:p>
          <w:p w:rsidR="002612F1" w:rsidRPr="003C2C2F" w:rsidRDefault="002612F1" w:rsidP="001318C4">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Bundesarbeitsgemeinschaft Selbsthilfe von</w:t>
            </w:r>
          </w:p>
          <w:p w:rsidR="002612F1" w:rsidRPr="003C2C2F" w:rsidRDefault="002612F1" w:rsidP="001318C4">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Menschen mit Behinderung</w:t>
            </w:r>
            <w:r>
              <w:rPr>
                <w:rFonts w:ascii="Trebuchet MS" w:eastAsia="Times New Roman" w:hAnsi="Trebuchet MS"/>
                <w:sz w:val="24"/>
                <w:szCs w:val="24"/>
                <w:lang w:eastAsia="de-DE"/>
              </w:rPr>
              <w:t>,</w:t>
            </w:r>
            <w:r w:rsidRPr="003C2C2F">
              <w:rPr>
                <w:rFonts w:ascii="Trebuchet MS" w:eastAsia="Times New Roman" w:hAnsi="Trebuchet MS"/>
                <w:sz w:val="24"/>
                <w:szCs w:val="24"/>
                <w:lang w:eastAsia="de-DE"/>
              </w:rPr>
              <w:t xml:space="preserve"> chronischer </w:t>
            </w:r>
          </w:p>
          <w:p w:rsidR="002612F1" w:rsidRPr="003C2C2F" w:rsidRDefault="002612F1" w:rsidP="001318C4">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 xml:space="preserve">Erkrankung und ihren Angehörigen e.V. </w:t>
            </w:r>
          </w:p>
          <w:p w:rsidR="002612F1" w:rsidRPr="003C2C2F" w:rsidRDefault="002612F1" w:rsidP="001318C4">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Kirchfeldstr. 149</w:t>
            </w:r>
          </w:p>
          <w:p w:rsidR="002612F1" w:rsidRPr="003C2C2F" w:rsidRDefault="002612F1" w:rsidP="001318C4">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40215 Düsseldorf</w:t>
            </w:r>
          </w:p>
          <w:p w:rsidR="002612F1" w:rsidRPr="003C2C2F" w:rsidRDefault="002612F1" w:rsidP="001318C4">
            <w:pPr>
              <w:rPr>
                <w:rFonts w:ascii="Trebuchet MS" w:eastAsia="Times New Roman" w:hAnsi="Trebuchet MS"/>
                <w:sz w:val="24"/>
                <w:szCs w:val="24"/>
                <w:lang w:eastAsia="de-DE"/>
              </w:rPr>
            </w:pPr>
            <w:r>
              <w:rPr>
                <w:rFonts w:ascii="Trebuchet MS" w:eastAsia="Times New Roman" w:hAnsi="Trebuchet MS"/>
                <w:sz w:val="24"/>
                <w:szCs w:val="24"/>
                <w:lang w:eastAsia="de-DE"/>
              </w:rPr>
              <w:t xml:space="preserve">Tel.: </w:t>
            </w:r>
            <w:r w:rsidRPr="003C2C2F">
              <w:rPr>
                <w:rFonts w:ascii="Trebuchet MS" w:eastAsia="Times New Roman" w:hAnsi="Trebuchet MS"/>
                <w:sz w:val="24"/>
                <w:szCs w:val="24"/>
                <w:lang w:eastAsia="de-DE"/>
              </w:rPr>
              <w:t>0211/31006-</w:t>
            </w:r>
            <w:r>
              <w:rPr>
                <w:rFonts w:ascii="Trebuchet MS" w:eastAsia="Times New Roman" w:hAnsi="Trebuchet MS"/>
                <w:sz w:val="24"/>
                <w:szCs w:val="24"/>
                <w:lang w:eastAsia="de-DE"/>
              </w:rPr>
              <w:t>0</w:t>
            </w:r>
          </w:p>
          <w:p w:rsidR="002612F1" w:rsidRPr="003C2C2F" w:rsidRDefault="002612F1" w:rsidP="001318C4">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Fax.</w:t>
            </w:r>
            <w:r>
              <w:rPr>
                <w:rFonts w:ascii="Trebuchet MS" w:eastAsia="Times New Roman" w:hAnsi="Trebuchet MS"/>
                <w:sz w:val="24"/>
                <w:szCs w:val="24"/>
                <w:lang w:eastAsia="de-DE"/>
              </w:rPr>
              <w:t>:</w:t>
            </w:r>
            <w:r w:rsidRPr="003C2C2F">
              <w:rPr>
                <w:rFonts w:ascii="Trebuchet MS" w:eastAsia="Times New Roman" w:hAnsi="Trebuchet MS"/>
                <w:sz w:val="24"/>
                <w:szCs w:val="24"/>
                <w:lang w:eastAsia="de-DE"/>
              </w:rPr>
              <w:t xml:space="preserve"> 0211/31006-48</w:t>
            </w:r>
          </w:p>
        </w:tc>
      </w:tr>
    </w:tbl>
    <w:p w:rsidR="002612F1" w:rsidRPr="003C2C2F" w:rsidRDefault="002612F1" w:rsidP="002612F1">
      <w:pPr>
        <w:rPr>
          <w:rFonts w:ascii="Trebuchet MS" w:eastAsia="Times New Roman" w:hAnsi="Trebuchet MS"/>
          <w:sz w:val="24"/>
          <w:szCs w:val="24"/>
          <w:lang w:eastAsia="de-DE"/>
        </w:rPr>
      </w:pPr>
      <w:r>
        <w:rPr>
          <w:noProof/>
          <w:lang w:eastAsia="de-DE"/>
        </w:rPr>
        <mc:AlternateContent>
          <mc:Choice Requires="wps">
            <w:drawing>
              <wp:anchor distT="4294967294" distB="4294967294" distL="114300" distR="114300" simplePos="0" relativeHeight="251659264" behindDoc="0" locked="0" layoutInCell="1" allowOverlap="1" wp14:anchorId="37CCA317" wp14:editId="40998525">
                <wp:simplePos x="0" y="0"/>
                <wp:positionH relativeFrom="column">
                  <wp:posOffset>-118745</wp:posOffset>
                </wp:positionH>
                <wp:positionV relativeFrom="paragraph">
                  <wp:posOffset>58419</wp:posOffset>
                </wp:positionV>
                <wp:extent cx="6768465" cy="0"/>
                <wp:effectExtent l="0" t="19050" r="13335" b="1905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35pt,4.6pt" to="523.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" strokecolor="gray" strokeweight="2.25pt"/>
            </w:pict>
          </mc:Fallback>
        </mc:AlternateContent>
      </w:r>
    </w:p>
    <w:p w:rsidR="002612F1" w:rsidRPr="007853C0" w:rsidRDefault="002612F1" w:rsidP="002612F1">
      <w:pPr>
        <w:tabs>
          <w:tab w:val="left" w:pos="454"/>
          <w:tab w:val="left" w:pos="851"/>
        </w:tabs>
        <w:spacing w:line="360" w:lineRule="auto"/>
        <w:rPr>
          <w:rFonts w:ascii="Trebuchet MS" w:eastAsia="Times New Roman" w:hAnsi="Trebuchet MS"/>
          <w:sz w:val="6"/>
          <w:szCs w:val="6"/>
          <w:lang w:eastAsia="de-DE"/>
        </w:rPr>
      </w:pPr>
    </w:p>
    <w:p w:rsidR="002612F1" w:rsidRPr="00EE14C5" w:rsidRDefault="002612F1" w:rsidP="002612F1">
      <w:pPr>
        <w:tabs>
          <w:tab w:val="left" w:pos="454"/>
          <w:tab w:val="left" w:pos="851"/>
        </w:tabs>
        <w:spacing w:line="360" w:lineRule="auto"/>
        <w:rPr>
          <w:rFonts w:ascii="Trebuchet MS" w:eastAsia="Times New Roman" w:hAnsi="Trebuchet MS"/>
          <w:sz w:val="24"/>
          <w:szCs w:val="20"/>
          <w:lang w:eastAsia="de-DE"/>
        </w:rPr>
      </w:pPr>
    </w:p>
    <w:p w:rsidR="002612F1" w:rsidRPr="00EE14C5" w:rsidRDefault="002612F1" w:rsidP="002612F1">
      <w:pPr>
        <w:tabs>
          <w:tab w:val="left" w:pos="454"/>
          <w:tab w:val="left" w:pos="851"/>
        </w:tabs>
        <w:spacing w:line="360" w:lineRule="auto"/>
        <w:jc w:val="center"/>
        <w:rPr>
          <w:rFonts w:ascii="Trebuchet MS" w:eastAsia="Times New Roman" w:hAnsi="Trebuchet MS"/>
          <w:b/>
          <w:sz w:val="36"/>
          <w:szCs w:val="36"/>
          <w:lang w:eastAsia="de-DE"/>
        </w:rPr>
      </w:pPr>
      <w:r w:rsidRPr="00EE14C5">
        <w:rPr>
          <w:rFonts w:ascii="Trebuchet MS" w:eastAsia="Times New Roman" w:hAnsi="Trebuchet MS"/>
          <w:b/>
          <w:sz w:val="36"/>
          <w:szCs w:val="36"/>
          <w:lang w:eastAsia="de-DE"/>
        </w:rPr>
        <w:t>Stellungnahme</w:t>
      </w:r>
    </w:p>
    <w:p w:rsidR="002612F1" w:rsidRDefault="002612F1" w:rsidP="002612F1">
      <w:pPr>
        <w:tabs>
          <w:tab w:val="left" w:pos="454"/>
          <w:tab w:val="left" w:pos="851"/>
        </w:tabs>
        <w:spacing w:line="360" w:lineRule="auto"/>
        <w:jc w:val="center"/>
        <w:rPr>
          <w:rFonts w:ascii="Trebuchet MS" w:eastAsia="Times New Roman" w:hAnsi="Trebuchet MS"/>
          <w:b/>
          <w:sz w:val="27"/>
          <w:szCs w:val="27"/>
          <w:lang w:eastAsia="de-DE"/>
        </w:rPr>
      </w:pPr>
      <w:r w:rsidRPr="00EE14C5">
        <w:rPr>
          <w:rFonts w:ascii="Trebuchet MS" w:eastAsia="Times New Roman" w:hAnsi="Trebuchet MS"/>
          <w:b/>
          <w:sz w:val="27"/>
          <w:szCs w:val="27"/>
          <w:lang w:eastAsia="de-DE"/>
        </w:rPr>
        <w:t>der</w:t>
      </w:r>
    </w:p>
    <w:p w:rsidR="002612F1" w:rsidRPr="00EE14C5" w:rsidRDefault="002612F1" w:rsidP="002612F1">
      <w:pPr>
        <w:tabs>
          <w:tab w:val="left" w:pos="454"/>
          <w:tab w:val="left" w:pos="851"/>
        </w:tabs>
        <w:spacing w:line="360" w:lineRule="auto"/>
        <w:jc w:val="center"/>
        <w:rPr>
          <w:rFonts w:ascii="Trebuchet MS" w:eastAsia="Times New Roman" w:hAnsi="Trebuchet MS"/>
          <w:b/>
          <w:sz w:val="27"/>
          <w:szCs w:val="27"/>
          <w:lang w:eastAsia="de-DE"/>
        </w:rPr>
      </w:pPr>
      <w:r w:rsidRPr="00EE14C5">
        <w:rPr>
          <w:rFonts w:ascii="Trebuchet MS" w:eastAsia="Times New Roman" w:hAnsi="Trebuchet MS"/>
          <w:b/>
          <w:sz w:val="27"/>
          <w:szCs w:val="27"/>
          <w:lang w:eastAsia="de-DE"/>
        </w:rPr>
        <w:t>Bundesarbeitsgemeinschaft Selbsthilfe von Menschen mit</w:t>
      </w:r>
    </w:p>
    <w:p w:rsidR="002612F1" w:rsidRPr="00EE14C5" w:rsidRDefault="002612F1" w:rsidP="002612F1">
      <w:pPr>
        <w:tabs>
          <w:tab w:val="left" w:pos="454"/>
          <w:tab w:val="left" w:pos="851"/>
        </w:tabs>
        <w:spacing w:line="360" w:lineRule="auto"/>
        <w:jc w:val="center"/>
        <w:rPr>
          <w:rFonts w:ascii="Trebuchet MS" w:eastAsia="Times New Roman" w:hAnsi="Trebuchet MS"/>
          <w:b/>
          <w:sz w:val="27"/>
          <w:szCs w:val="27"/>
          <w:lang w:eastAsia="de-DE"/>
        </w:rPr>
      </w:pPr>
      <w:r>
        <w:rPr>
          <w:rFonts w:ascii="Trebuchet MS" w:eastAsia="Times New Roman" w:hAnsi="Trebuchet MS"/>
          <w:b/>
          <w:sz w:val="27"/>
          <w:szCs w:val="27"/>
          <w:lang w:eastAsia="de-DE"/>
        </w:rPr>
        <w:t>Behinderung,</w:t>
      </w:r>
      <w:r w:rsidRPr="00EE14C5">
        <w:rPr>
          <w:rFonts w:ascii="Trebuchet MS" w:eastAsia="Times New Roman" w:hAnsi="Trebuchet MS"/>
          <w:b/>
          <w:sz w:val="27"/>
          <w:szCs w:val="27"/>
          <w:lang w:eastAsia="de-DE"/>
        </w:rPr>
        <w:t xml:space="preserve"> chronischer Erkrankung und ihren Angehörigen e. V.</w:t>
      </w:r>
    </w:p>
    <w:p w:rsidR="002612F1" w:rsidRPr="00EE14C5" w:rsidRDefault="002612F1" w:rsidP="002612F1">
      <w:pPr>
        <w:tabs>
          <w:tab w:val="left" w:pos="454"/>
          <w:tab w:val="left" w:pos="851"/>
        </w:tabs>
        <w:spacing w:line="360" w:lineRule="auto"/>
        <w:jc w:val="center"/>
        <w:rPr>
          <w:rFonts w:ascii="Trebuchet MS" w:eastAsia="Times New Roman" w:hAnsi="Trebuchet MS"/>
          <w:b/>
          <w:sz w:val="27"/>
          <w:szCs w:val="27"/>
          <w:lang w:eastAsia="de-DE"/>
        </w:rPr>
      </w:pPr>
      <w:r w:rsidRPr="00EE14C5">
        <w:rPr>
          <w:rFonts w:ascii="Trebuchet MS" w:eastAsia="Times New Roman" w:hAnsi="Trebuchet MS"/>
          <w:b/>
          <w:sz w:val="27"/>
          <w:szCs w:val="27"/>
          <w:lang w:eastAsia="de-DE"/>
        </w:rPr>
        <w:t>(BAG SELBSTHILFE)</w:t>
      </w:r>
    </w:p>
    <w:p w:rsidR="002612F1" w:rsidRPr="003E1C75" w:rsidRDefault="002612F1" w:rsidP="002612F1">
      <w:pPr>
        <w:tabs>
          <w:tab w:val="left" w:pos="454"/>
          <w:tab w:val="left" w:pos="851"/>
        </w:tabs>
        <w:spacing w:line="360" w:lineRule="auto"/>
        <w:jc w:val="center"/>
        <w:rPr>
          <w:rFonts w:ascii="Trebuchet MS" w:eastAsia="Times New Roman" w:hAnsi="Trebuchet MS"/>
          <w:b/>
          <w:bCs/>
          <w:sz w:val="6"/>
          <w:szCs w:val="6"/>
          <w:lang w:eastAsia="de-DE"/>
        </w:rPr>
      </w:pPr>
    </w:p>
    <w:p w:rsidR="002612F1" w:rsidRPr="00934801" w:rsidRDefault="002612F1" w:rsidP="002612F1">
      <w:pPr>
        <w:tabs>
          <w:tab w:val="left" w:pos="454"/>
          <w:tab w:val="left" w:pos="851"/>
        </w:tabs>
        <w:spacing w:line="360" w:lineRule="auto"/>
        <w:jc w:val="center"/>
        <w:rPr>
          <w:rFonts w:ascii="Trebuchet MS" w:eastAsia="Times New Roman" w:hAnsi="Trebuchet MS"/>
          <w:b/>
          <w:bCs/>
          <w:sz w:val="24"/>
          <w:szCs w:val="24"/>
          <w:lang w:eastAsia="de-DE"/>
        </w:rPr>
      </w:pPr>
      <w:r>
        <w:rPr>
          <w:rFonts w:ascii="Trebuchet MS" w:eastAsia="Times New Roman" w:hAnsi="Trebuchet MS"/>
          <w:b/>
          <w:bCs/>
          <w:sz w:val="24"/>
          <w:szCs w:val="24"/>
          <w:lang w:eastAsia="de-DE"/>
        </w:rPr>
        <w:t>zum</w:t>
      </w:r>
    </w:p>
    <w:p w:rsidR="002612F1" w:rsidRPr="003E1C75" w:rsidRDefault="002612F1" w:rsidP="002612F1">
      <w:pPr>
        <w:tabs>
          <w:tab w:val="left" w:pos="454"/>
          <w:tab w:val="left" w:pos="851"/>
        </w:tabs>
        <w:spacing w:line="360" w:lineRule="auto"/>
        <w:jc w:val="center"/>
        <w:rPr>
          <w:rFonts w:ascii="Trebuchet MS" w:eastAsia="Times New Roman" w:hAnsi="Trebuchet MS"/>
          <w:b/>
          <w:bCs/>
          <w:sz w:val="6"/>
          <w:szCs w:val="6"/>
          <w:lang w:eastAsia="de-DE"/>
        </w:rPr>
      </w:pPr>
    </w:p>
    <w:p w:rsidR="002612F1" w:rsidRDefault="002612F1" w:rsidP="002612F1">
      <w:pPr>
        <w:tabs>
          <w:tab w:val="left" w:pos="454"/>
          <w:tab w:val="left" w:pos="851"/>
        </w:tabs>
        <w:autoSpaceDE w:val="0"/>
        <w:autoSpaceDN w:val="0"/>
        <w:adjustRightInd w:val="0"/>
        <w:spacing w:line="360" w:lineRule="auto"/>
        <w:jc w:val="center"/>
        <w:rPr>
          <w:rFonts w:ascii="Trebuchet MS" w:eastAsia="Times New Roman" w:hAnsi="Trebuchet MS"/>
          <w:b/>
          <w:sz w:val="28"/>
          <w:szCs w:val="28"/>
          <w:lang w:eastAsia="de-DE"/>
        </w:rPr>
      </w:pPr>
      <w:r>
        <w:rPr>
          <w:rFonts w:ascii="Trebuchet MS" w:eastAsia="Times New Roman" w:hAnsi="Trebuchet MS"/>
          <w:b/>
          <w:sz w:val="28"/>
          <w:szCs w:val="28"/>
          <w:lang w:eastAsia="de-DE"/>
        </w:rPr>
        <w:t xml:space="preserve">Referentenentwurf </w:t>
      </w:r>
    </w:p>
    <w:p w:rsidR="002612F1" w:rsidRDefault="002612F1" w:rsidP="002612F1">
      <w:pPr>
        <w:tabs>
          <w:tab w:val="left" w:pos="454"/>
          <w:tab w:val="left" w:pos="851"/>
        </w:tabs>
        <w:autoSpaceDE w:val="0"/>
        <w:autoSpaceDN w:val="0"/>
        <w:adjustRightInd w:val="0"/>
        <w:spacing w:line="360" w:lineRule="auto"/>
        <w:jc w:val="center"/>
        <w:rPr>
          <w:rFonts w:ascii="Trebuchet MS" w:eastAsia="Times New Roman" w:hAnsi="Trebuchet MS"/>
          <w:b/>
          <w:sz w:val="28"/>
          <w:szCs w:val="28"/>
          <w:lang w:eastAsia="de-DE"/>
        </w:rPr>
      </w:pPr>
      <w:r>
        <w:rPr>
          <w:rFonts w:ascii="Trebuchet MS" w:eastAsia="Times New Roman" w:hAnsi="Trebuchet MS"/>
          <w:b/>
          <w:sz w:val="28"/>
          <w:szCs w:val="28"/>
          <w:lang w:eastAsia="de-DE"/>
        </w:rPr>
        <w:t>eines Gesetzes zur Entlastung unterhaltsverpflichteter Angehöriger in der Sozialhilfe und in der Eingliederungshilfe</w:t>
      </w:r>
    </w:p>
    <w:p w:rsidR="002612F1" w:rsidRPr="00A15E0B" w:rsidRDefault="002612F1" w:rsidP="002612F1">
      <w:pPr>
        <w:tabs>
          <w:tab w:val="left" w:pos="454"/>
          <w:tab w:val="left" w:pos="851"/>
        </w:tabs>
        <w:autoSpaceDE w:val="0"/>
        <w:autoSpaceDN w:val="0"/>
        <w:adjustRightInd w:val="0"/>
        <w:spacing w:after="240" w:line="360" w:lineRule="auto"/>
        <w:jc w:val="center"/>
        <w:rPr>
          <w:rFonts w:ascii="Trebuchet MS" w:eastAsia="Times New Roman" w:hAnsi="Trebuchet MS"/>
          <w:b/>
          <w:sz w:val="28"/>
          <w:szCs w:val="28"/>
          <w:lang w:eastAsia="de-DE"/>
        </w:rPr>
      </w:pPr>
      <w:r>
        <w:rPr>
          <w:rFonts w:ascii="Trebuchet MS" w:eastAsia="Times New Roman" w:hAnsi="Trebuchet MS"/>
          <w:b/>
          <w:sz w:val="28"/>
          <w:szCs w:val="28"/>
          <w:lang w:eastAsia="de-DE"/>
        </w:rPr>
        <w:t>(Angehörigen-Entlastungsgesetz)</w:t>
      </w:r>
    </w:p>
    <w:p w:rsidR="002612F1" w:rsidRPr="00083389" w:rsidRDefault="002612F1" w:rsidP="002612F1">
      <w:pPr>
        <w:tabs>
          <w:tab w:val="left" w:pos="454"/>
          <w:tab w:val="left" w:pos="851"/>
        </w:tabs>
        <w:autoSpaceDE w:val="0"/>
        <w:autoSpaceDN w:val="0"/>
        <w:adjustRightInd w:val="0"/>
        <w:spacing w:line="360" w:lineRule="auto"/>
        <w:jc w:val="center"/>
        <w:rPr>
          <w:rFonts w:ascii="Trebuchet MS" w:eastAsia="Times New Roman" w:hAnsi="Trebuchet MS"/>
          <w:b/>
          <w:sz w:val="27"/>
          <w:szCs w:val="27"/>
          <w:u w:val="single"/>
          <w:lang w:eastAsia="de-DE"/>
        </w:rPr>
      </w:pPr>
      <w:r w:rsidRPr="00083389">
        <w:rPr>
          <w:rFonts w:ascii="Trebuchet MS" w:eastAsia="Times New Roman" w:hAnsi="Trebuchet MS"/>
          <w:b/>
          <w:sz w:val="27"/>
          <w:szCs w:val="27"/>
          <w:u w:val="single"/>
          <w:lang w:eastAsia="de-DE"/>
        </w:rPr>
        <w:t>Az.: V</w:t>
      </w:r>
      <w:r>
        <w:rPr>
          <w:rFonts w:ascii="Trebuchet MS" w:eastAsia="Times New Roman" w:hAnsi="Trebuchet MS"/>
          <w:b/>
          <w:sz w:val="27"/>
          <w:szCs w:val="27"/>
          <w:u w:val="single"/>
          <w:lang w:eastAsia="de-DE"/>
        </w:rPr>
        <w:t xml:space="preserve">b3 </w:t>
      </w:r>
      <w:r w:rsidRPr="00083389">
        <w:rPr>
          <w:rFonts w:ascii="Trebuchet MS" w:eastAsia="Times New Roman" w:hAnsi="Trebuchet MS"/>
          <w:b/>
          <w:sz w:val="27"/>
          <w:szCs w:val="27"/>
          <w:u w:val="single"/>
          <w:lang w:eastAsia="de-DE"/>
        </w:rPr>
        <w:t>5</w:t>
      </w:r>
      <w:r>
        <w:rPr>
          <w:rFonts w:ascii="Trebuchet MS" w:eastAsia="Times New Roman" w:hAnsi="Trebuchet MS"/>
          <w:b/>
          <w:sz w:val="27"/>
          <w:szCs w:val="27"/>
          <w:u w:val="single"/>
          <w:lang w:eastAsia="de-DE"/>
        </w:rPr>
        <w:t>0015</w:t>
      </w:r>
      <w:r w:rsidRPr="00083389">
        <w:rPr>
          <w:rFonts w:ascii="Trebuchet MS" w:eastAsia="Times New Roman" w:hAnsi="Trebuchet MS"/>
          <w:b/>
          <w:sz w:val="27"/>
          <w:szCs w:val="27"/>
          <w:u w:val="single"/>
          <w:lang w:eastAsia="de-DE"/>
        </w:rPr>
        <w:t>-</w:t>
      </w:r>
      <w:r>
        <w:rPr>
          <w:rFonts w:ascii="Trebuchet MS" w:eastAsia="Times New Roman" w:hAnsi="Trebuchet MS"/>
          <w:b/>
          <w:sz w:val="27"/>
          <w:szCs w:val="27"/>
          <w:u w:val="single"/>
          <w:lang w:eastAsia="de-DE"/>
        </w:rPr>
        <w:t>10</w:t>
      </w:r>
    </w:p>
    <w:p w:rsidR="002612F1" w:rsidRDefault="002612F1" w:rsidP="002612F1">
      <w:pPr>
        <w:tabs>
          <w:tab w:val="left" w:pos="454"/>
          <w:tab w:val="left" w:pos="851"/>
        </w:tabs>
        <w:autoSpaceDE w:val="0"/>
        <w:autoSpaceDN w:val="0"/>
        <w:adjustRightInd w:val="0"/>
        <w:spacing w:line="360" w:lineRule="auto"/>
        <w:jc w:val="center"/>
        <w:rPr>
          <w:rFonts w:ascii="Trebuchet MS" w:eastAsia="Times New Roman" w:hAnsi="Trebuchet MS"/>
          <w:b/>
          <w:sz w:val="27"/>
          <w:szCs w:val="27"/>
          <w:u w:val="single"/>
          <w:lang w:eastAsia="de-DE"/>
        </w:rPr>
      </w:pPr>
    </w:p>
    <w:p w:rsidR="002612F1" w:rsidRDefault="002612F1" w:rsidP="002612F1">
      <w:pPr>
        <w:spacing w:after="120" w:line="360" w:lineRule="auto"/>
        <w:jc w:val="both"/>
        <w:rPr>
          <w:rFonts w:ascii="Trebuchet MS" w:hAnsi="Trebuchet MS"/>
          <w:sz w:val="24"/>
          <w:szCs w:val="24"/>
        </w:rPr>
      </w:pPr>
    </w:p>
    <w:p w:rsidR="005C1D91" w:rsidRDefault="002612F1" w:rsidP="002612F1">
      <w:pPr>
        <w:spacing w:after="120" w:line="360" w:lineRule="auto"/>
        <w:jc w:val="both"/>
        <w:rPr>
          <w:rFonts w:ascii="Trebuchet MS" w:hAnsi="Trebuchet MS"/>
          <w:sz w:val="24"/>
          <w:szCs w:val="24"/>
        </w:rPr>
      </w:pPr>
      <w:r>
        <w:rPr>
          <w:rFonts w:ascii="Trebuchet MS" w:hAnsi="Trebuchet MS"/>
          <w:sz w:val="24"/>
          <w:szCs w:val="24"/>
        </w:rPr>
        <w:t>Als Dachverband von 117</w:t>
      </w:r>
      <w:r w:rsidRPr="00006554">
        <w:rPr>
          <w:rFonts w:ascii="Trebuchet MS" w:hAnsi="Trebuchet MS"/>
          <w:sz w:val="24"/>
          <w:szCs w:val="24"/>
        </w:rPr>
        <w:t xml:space="preserve"> Bundesverbänden der Selbsthilfe chronisch kranker und behinderter Menschen sowie von 13 </w:t>
      </w:r>
      <w:r>
        <w:rPr>
          <w:rFonts w:ascii="Trebuchet MS" w:hAnsi="Trebuchet MS"/>
          <w:sz w:val="24"/>
          <w:szCs w:val="24"/>
        </w:rPr>
        <w:t xml:space="preserve">Landesarbeitsgemeinschaften begrüßt </w:t>
      </w:r>
      <w:r w:rsidRPr="00006554">
        <w:rPr>
          <w:rFonts w:ascii="Trebuchet MS" w:hAnsi="Trebuchet MS"/>
          <w:sz w:val="24"/>
          <w:szCs w:val="24"/>
        </w:rPr>
        <w:t xml:space="preserve">die BAG SELBSTHILFE </w:t>
      </w:r>
      <w:r>
        <w:rPr>
          <w:rFonts w:ascii="Trebuchet MS" w:hAnsi="Trebuchet MS"/>
          <w:sz w:val="24"/>
          <w:szCs w:val="24"/>
        </w:rPr>
        <w:t>den vorliegenden Referentenentwurf</w:t>
      </w:r>
      <w:r w:rsidR="00853B89">
        <w:rPr>
          <w:rFonts w:ascii="Trebuchet MS" w:hAnsi="Trebuchet MS"/>
          <w:sz w:val="24"/>
          <w:szCs w:val="24"/>
        </w:rPr>
        <w:t>, auch wenn</w:t>
      </w:r>
      <w:r w:rsidR="004831BE">
        <w:rPr>
          <w:rFonts w:ascii="Trebuchet MS" w:hAnsi="Trebuchet MS"/>
          <w:sz w:val="24"/>
          <w:szCs w:val="24"/>
        </w:rPr>
        <w:t xml:space="preserve"> der Verband</w:t>
      </w:r>
      <w:r w:rsidR="00853B89">
        <w:rPr>
          <w:rFonts w:ascii="Trebuchet MS" w:hAnsi="Trebuchet MS"/>
          <w:sz w:val="24"/>
          <w:szCs w:val="24"/>
        </w:rPr>
        <w:t xml:space="preserve"> an einigen wenigen Stellen noch Nachbesserungsbedarf </w:t>
      </w:r>
      <w:r w:rsidR="004831BE">
        <w:rPr>
          <w:rFonts w:ascii="Trebuchet MS" w:hAnsi="Trebuchet MS"/>
          <w:sz w:val="24"/>
          <w:szCs w:val="24"/>
        </w:rPr>
        <w:t>sieht</w:t>
      </w:r>
      <w:r w:rsidR="00853B89">
        <w:rPr>
          <w:rFonts w:ascii="Trebuchet MS" w:hAnsi="Trebuchet MS"/>
          <w:sz w:val="24"/>
          <w:szCs w:val="24"/>
        </w:rPr>
        <w:t>.</w:t>
      </w:r>
      <w:r w:rsidR="005C1D91">
        <w:rPr>
          <w:rFonts w:ascii="Trebuchet MS" w:hAnsi="Trebuchet MS"/>
          <w:sz w:val="24"/>
          <w:szCs w:val="24"/>
        </w:rPr>
        <w:t xml:space="preserve"> Erfreulich ist, dass mit dem geplanten </w:t>
      </w:r>
      <w:r w:rsidR="004831BE">
        <w:rPr>
          <w:rFonts w:ascii="Trebuchet MS" w:hAnsi="Trebuchet MS"/>
          <w:sz w:val="24"/>
          <w:szCs w:val="24"/>
        </w:rPr>
        <w:t>Angehörigen-Entlastungsg</w:t>
      </w:r>
      <w:r w:rsidR="005C1D91">
        <w:rPr>
          <w:rFonts w:ascii="Trebuchet MS" w:hAnsi="Trebuchet MS"/>
          <w:sz w:val="24"/>
          <w:szCs w:val="24"/>
        </w:rPr>
        <w:t xml:space="preserve">esetz </w:t>
      </w:r>
      <w:r w:rsidR="00A91056">
        <w:rPr>
          <w:rFonts w:ascii="Trebuchet MS" w:hAnsi="Trebuchet MS"/>
          <w:sz w:val="24"/>
          <w:szCs w:val="24"/>
        </w:rPr>
        <w:t>Themenb</w:t>
      </w:r>
      <w:r w:rsidR="005C1D91">
        <w:rPr>
          <w:rFonts w:ascii="Trebuchet MS" w:hAnsi="Trebuchet MS"/>
          <w:sz w:val="24"/>
          <w:szCs w:val="24"/>
        </w:rPr>
        <w:t xml:space="preserve">ereiche </w:t>
      </w:r>
      <w:r w:rsidR="00A91056">
        <w:rPr>
          <w:rFonts w:ascii="Trebuchet MS" w:hAnsi="Trebuchet MS"/>
          <w:sz w:val="24"/>
          <w:szCs w:val="24"/>
        </w:rPr>
        <w:t xml:space="preserve">geregelt werden, die aus Sicht der Behindertenselbsthilfe für die </w:t>
      </w:r>
      <w:r w:rsidR="00853B89">
        <w:rPr>
          <w:rFonts w:ascii="Trebuchet MS" w:hAnsi="Trebuchet MS"/>
          <w:sz w:val="24"/>
          <w:szCs w:val="24"/>
        </w:rPr>
        <w:t>Betroffenen durchaus</w:t>
      </w:r>
      <w:r w:rsidR="00A91056">
        <w:rPr>
          <w:rFonts w:ascii="Trebuchet MS" w:hAnsi="Trebuchet MS"/>
          <w:sz w:val="24"/>
          <w:szCs w:val="24"/>
        </w:rPr>
        <w:t xml:space="preserve"> von großer Bedeutung sind</w:t>
      </w:r>
      <w:r w:rsidR="00853B89">
        <w:rPr>
          <w:rFonts w:ascii="Trebuchet MS" w:hAnsi="Trebuchet MS"/>
          <w:sz w:val="24"/>
          <w:szCs w:val="24"/>
        </w:rPr>
        <w:t>, sei es d</w:t>
      </w:r>
      <w:r w:rsidR="007853C0">
        <w:rPr>
          <w:rFonts w:ascii="Trebuchet MS" w:hAnsi="Trebuchet MS"/>
          <w:sz w:val="24"/>
          <w:szCs w:val="24"/>
        </w:rPr>
        <w:t xml:space="preserve">ie </w:t>
      </w:r>
      <w:r w:rsidR="00655238">
        <w:rPr>
          <w:rFonts w:ascii="Trebuchet MS" w:hAnsi="Trebuchet MS"/>
          <w:sz w:val="24"/>
          <w:szCs w:val="24"/>
        </w:rPr>
        <w:t>dauerhafte</w:t>
      </w:r>
      <w:r w:rsidR="007853C0">
        <w:rPr>
          <w:rFonts w:ascii="Trebuchet MS" w:hAnsi="Trebuchet MS"/>
          <w:sz w:val="24"/>
          <w:szCs w:val="24"/>
        </w:rPr>
        <w:t xml:space="preserve"> Finanzierung der Ergänzenden unabhängigen Teilhabeberatung, sei es die Einführung eines Budgets für Ausbildung</w:t>
      </w:r>
      <w:r w:rsidR="00A91056">
        <w:rPr>
          <w:rFonts w:ascii="Trebuchet MS" w:hAnsi="Trebuchet MS"/>
          <w:sz w:val="24"/>
          <w:szCs w:val="24"/>
        </w:rPr>
        <w:t xml:space="preserve">. </w:t>
      </w:r>
    </w:p>
    <w:p w:rsidR="007853C0" w:rsidRPr="007853C0" w:rsidRDefault="000B41DE" w:rsidP="00CD3D1B">
      <w:pPr>
        <w:spacing w:after="120" w:line="360" w:lineRule="auto"/>
        <w:jc w:val="both"/>
        <w:rPr>
          <w:rFonts w:ascii="Trebuchet MS" w:hAnsi="Trebuchet MS"/>
          <w:sz w:val="24"/>
          <w:szCs w:val="24"/>
        </w:rPr>
      </w:pPr>
      <w:r>
        <w:rPr>
          <w:rFonts w:ascii="Trebuchet MS" w:hAnsi="Trebuchet MS"/>
          <w:sz w:val="24"/>
          <w:szCs w:val="24"/>
        </w:rPr>
        <w:lastRenderedPageBreak/>
        <w:t>Zu den Hauptr</w:t>
      </w:r>
      <w:r w:rsidR="007853C0">
        <w:rPr>
          <w:rFonts w:ascii="Trebuchet MS" w:hAnsi="Trebuchet MS"/>
          <w:sz w:val="24"/>
          <w:szCs w:val="24"/>
        </w:rPr>
        <w:t>egelung</w:t>
      </w:r>
      <w:r>
        <w:rPr>
          <w:rFonts w:ascii="Trebuchet MS" w:hAnsi="Trebuchet MS"/>
          <w:sz w:val="24"/>
          <w:szCs w:val="24"/>
        </w:rPr>
        <w:t>sbereichen im Einzelnen:</w:t>
      </w:r>
    </w:p>
    <w:p w:rsidR="0027336E" w:rsidRDefault="0027336E" w:rsidP="00CD3D1B">
      <w:pPr>
        <w:spacing w:after="120" w:line="360" w:lineRule="auto"/>
        <w:jc w:val="both"/>
        <w:rPr>
          <w:rFonts w:ascii="Trebuchet MS" w:hAnsi="Trebuchet MS"/>
          <w:b/>
          <w:sz w:val="24"/>
          <w:szCs w:val="24"/>
        </w:rPr>
      </w:pPr>
    </w:p>
    <w:p w:rsidR="00CD3D1B" w:rsidRPr="00CD3D1B" w:rsidRDefault="00CD3D1B" w:rsidP="00CD3D1B">
      <w:pPr>
        <w:spacing w:after="120" w:line="360" w:lineRule="auto"/>
        <w:jc w:val="both"/>
        <w:rPr>
          <w:rFonts w:ascii="Trebuchet MS" w:hAnsi="Trebuchet MS"/>
          <w:b/>
          <w:sz w:val="24"/>
          <w:szCs w:val="24"/>
        </w:rPr>
      </w:pPr>
      <w:r>
        <w:rPr>
          <w:rFonts w:ascii="Trebuchet MS" w:hAnsi="Trebuchet MS"/>
          <w:b/>
          <w:sz w:val="24"/>
          <w:szCs w:val="24"/>
        </w:rPr>
        <w:t xml:space="preserve">1. </w:t>
      </w:r>
      <w:r w:rsidR="000B41DE">
        <w:rPr>
          <w:rFonts w:ascii="Trebuchet MS" w:hAnsi="Trebuchet MS"/>
          <w:b/>
          <w:sz w:val="24"/>
          <w:szCs w:val="24"/>
        </w:rPr>
        <w:t>Begrenzung des Unterhaltsrückgriffs</w:t>
      </w:r>
    </w:p>
    <w:p w:rsidR="00CD3D1B" w:rsidRDefault="00A91056" w:rsidP="002612F1">
      <w:pPr>
        <w:spacing w:after="120" w:line="360" w:lineRule="auto"/>
        <w:jc w:val="both"/>
        <w:rPr>
          <w:rFonts w:ascii="Trebuchet MS" w:hAnsi="Trebuchet MS"/>
          <w:sz w:val="24"/>
          <w:szCs w:val="24"/>
        </w:rPr>
      </w:pPr>
      <w:r>
        <w:rPr>
          <w:rFonts w:ascii="Trebuchet MS" w:hAnsi="Trebuchet MS"/>
          <w:sz w:val="24"/>
          <w:szCs w:val="24"/>
        </w:rPr>
        <w:t xml:space="preserve">Die geplante Entlastung von Kindern und Eltern, die gegenüber Leistungsbeziehern nach dem Zwölften Buch Sozialgesetzbuch (SGB XII) unterhaltsverpflichtet sind, </w:t>
      </w:r>
      <w:r w:rsidR="009F5B37">
        <w:rPr>
          <w:rFonts w:ascii="Trebuchet MS" w:hAnsi="Trebuchet MS"/>
          <w:sz w:val="24"/>
          <w:szCs w:val="24"/>
        </w:rPr>
        <w:t xml:space="preserve">ist zu begrüßen. </w:t>
      </w:r>
      <w:r w:rsidR="00555D30">
        <w:rPr>
          <w:rFonts w:ascii="Trebuchet MS" w:hAnsi="Trebuchet MS"/>
          <w:sz w:val="24"/>
          <w:szCs w:val="24"/>
        </w:rPr>
        <w:t>Auch</w:t>
      </w:r>
      <w:r w:rsidR="0093635E">
        <w:rPr>
          <w:rFonts w:ascii="Trebuchet MS" w:hAnsi="Trebuchet MS"/>
          <w:sz w:val="24"/>
          <w:szCs w:val="24"/>
        </w:rPr>
        <w:t xml:space="preserve"> gegenüber</w:t>
      </w:r>
      <w:r w:rsidR="00555D30">
        <w:rPr>
          <w:rFonts w:ascii="Trebuchet MS" w:hAnsi="Trebuchet MS"/>
          <w:sz w:val="24"/>
          <w:szCs w:val="24"/>
        </w:rPr>
        <w:t xml:space="preserve"> d</w:t>
      </w:r>
      <w:r w:rsidR="0093635E">
        <w:rPr>
          <w:rFonts w:ascii="Trebuchet MS" w:hAnsi="Trebuchet MS"/>
          <w:sz w:val="24"/>
          <w:szCs w:val="24"/>
        </w:rPr>
        <w:t>er</w:t>
      </w:r>
      <w:r w:rsidR="00555D30">
        <w:rPr>
          <w:rFonts w:ascii="Trebuchet MS" w:hAnsi="Trebuchet MS"/>
          <w:sz w:val="24"/>
          <w:szCs w:val="24"/>
        </w:rPr>
        <w:t xml:space="preserve"> BAG SELBSTHILFE </w:t>
      </w:r>
      <w:r w:rsidR="0093635E">
        <w:rPr>
          <w:rFonts w:ascii="Trebuchet MS" w:hAnsi="Trebuchet MS"/>
          <w:sz w:val="24"/>
          <w:szCs w:val="24"/>
        </w:rPr>
        <w:t>wird</w:t>
      </w:r>
      <w:r w:rsidR="00555D30">
        <w:rPr>
          <w:rFonts w:ascii="Trebuchet MS" w:hAnsi="Trebuchet MS"/>
          <w:sz w:val="24"/>
          <w:szCs w:val="24"/>
        </w:rPr>
        <w:t xml:space="preserve"> immer wieder</w:t>
      </w:r>
      <w:r w:rsidR="00655238">
        <w:rPr>
          <w:rFonts w:ascii="Trebuchet MS" w:hAnsi="Trebuchet MS"/>
          <w:sz w:val="24"/>
          <w:szCs w:val="24"/>
        </w:rPr>
        <w:t xml:space="preserve"> von Einzelmitgliedern</w:t>
      </w:r>
      <w:r w:rsidR="00555D30">
        <w:rPr>
          <w:rFonts w:ascii="Trebuchet MS" w:hAnsi="Trebuchet MS"/>
          <w:sz w:val="24"/>
          <w:szCs w:val="24"/>
        </w:rPr>
        <w:t xml:space="preserve"> </w:t>
      </w:r>
      <w:r w:rsidR="0093635E">
        <w:rPr>
          <w:rFonts w:ascii="Trebuchet MS" w:hAnsi="Trebuchet MS"/>
          <w:sz w:val="24"/>
          <w:szCs w:val="24"/>
        </w:rPr>
        <w:t>zum Ausdruck gebracht</w:t>
      </w:r>
      <w:r w:rsidR="00555D30">
        <w:rPr>
          <w:rFonts w:ascii="Trebuchet MS" w:hAnsi="Trebuchet MS"/>
          <w:sz w:val="24"/>
          <w:szCs w:val="24"/>
        </w:rPr>
        <w:t xml:space="preserve">, </w:t>
      </w:r>
      <w:r w:rsidR="0093635E">
        <w:rPr>
          <w:rFonts w:ascii="Trebuchet MS" w:hAnsi="Trebuchet MS"/>
          <w:sz w:val="24"/>
          <w:szCs w:val="24"/>
        </w:rPr>
        <w:t>dass</w:t>
      </w:r>
      <w:r w:rsidR="00555D30">
        <w:rPr>
          <w:rFonts w:ascii="Trebuchet MS" w:hAnsi="Trebuchet MS"/>
          <w:sz w:val="24"/>
          <w:szCs w:val="24"/>
        </w:rPr>
        <w:t xml:space="preserve"> es g</w:t>
      </w:r>
      <w:r w:rsidR="009F5B37">
        <w:rPr>
          <w:rFonts w:ascii="Trebuchet MS" w:hAnsi="Trebuchet MS"/>
          <w:sz w:val="24"/>
          <w:szCs w:val="24"/>
        </w:rPr>
        <w:t xml:space="preserve">erade </w:t>
      </w:r>
      <w:r w:rsidR="00555D30">
        <w:rPr>
          <w:rFonts w:ascii="Trebuchet MS" w:hAnsi="Trebuchet MS"/>
          <w:sz w:val="24"/>
          <w:szCs w:val="24"/>
        </w:rPr>
        <w:t>für</w:t>
      </w:r>
      <w:r w:rsidR="009F5B37">
        <w:rPr>
          <w:rFonts w:ascii="Trebuchet MS" w:hAnsi="Trebuchet MS"/>
          <w:sz w:val="24"/>
          <w:szCs w:val="24"/>
        </w:rPr>
        <w:t xml:space="preserve"> pflegende Angehörige</w:t>
      </w:r>
      <w:r w:rsidR="00555D30">
        <w:rPr>
          <w:rFonts w:ascii="Trebuchet MS" w:hAnsi="Trebuchet MS"/>
          <w:sz w:val="24"/>
          <w:szCs w:val="24"/>
        </w:rPr>
        <w:t xml:space="preserve"> eine enorme Belastung darstellt, wenn sie einerseits neben Beruf, Familie und Alltagsverpfl</w:t>
      </w:r>
      <w:r w:rsidR="0093635E">
        <w:rPr>
          <w:rFonts w:ascii="Trebuchet MS" w:hAnsi="Trebuchet MS"/>
          <w:sz w:val="24"/>
          <w:szCs w:val="24"/>
        </w:rPr>
        <w:t>ichtungen eine Rund-um-die-Uhr-</w:t>
      </w:r>
      <w:r w:rsidR="00555D30">
        <w:rPr>
          <w:rFonts w:ascii="Trebuchet MS" w:hAnsi="Trebuchet MS"/>
          <w:sz w:val="24"/>
          <w:szCs w:val="24"/>
        </w:rPr>
        <w:t>Betreuung bewerkstelligen, anderer</w:t>
      </w:r>
      <w:r w:rsidR="00655238">
        <w:rPr>
          <w:rFonts w:ascii="Trebuchet MS" w:hAnsi="Trebuchet MS"/>
          <w:sz w:val="24"/>
          <w:szCs w:val="24"/>
        </w:rPr>
        <w:t>-</w:t>
      </w:r>
      <w:proofErr w:type="spellStart"/>
      <w:r w:rsidR="00555D30">
        <w:rPr>
          <w:rFonts w:ascii="Trebuchet MS" w:hAnsi="Trebuchet MS"/>
          <w:sz w:val="24"/>
          <w:szCs w:val="24"/>
        </w:rPr>
        <w:t>seits</w:t>
      </w:r>
      <w:proofErr w:type="spellEnd"/>
      <w:r w:rsidR="00555D30">
        <w:rPr>
          <w:rFonts w:ascii="Trebuchet MS" w:hAnsi="Trebuchet MS"/>
          <w:sz w:val="24"/>
          <w:szCs w:val="24"/>
        </w:rPr>
        <w:t xml:space="preserve"> aber auch noch mit ihrem Durchschnittseinkommen Unterhaltskosten mitübernehmen müssen. Regelmäßig fällt das </w:t>
      </w:r>
      <w:r w:rsidR="009F5B37">
        <w:rPr>
          <w:rFonts w:ascii="Trebuchet MS" w:hAnsi="Trebuchet MS"/>
          <w:sz w:val="24"/>
          <w:szCs w:val="24"/>
        </w:rPr>
        <w:t>Einkommen</w:t>
      </w:r>
      <w:r w:rsidR="00555D30">
        <w:rPr>
          <w:rFonts w:ascii="Trebuchet MS" w:hAnsi="Trebuchet MS"/>
          <w:sz w:val="24"/>
          <w:szCs w:val="24"/>
        </w:rPr>
        <w:t xml:space="preserve"> ja</w:t>
      </w:r>
      <w:r w:rsidR="009F5B37">
        <w:rPr>
          <w:rFonts w:ascii="Trebuchet MS" w:hAnsi="Trebuchet MS"/>
          <w:sz w:val="24"/>
          <w:szCs w:val="24"/>
        </w:rPr>
        <w:t xml:space="preserve"> gerade wegen d</w:t>
      </w:r>
      <w:r w:rsidR="00555D30">
        <w:rPr>
          <w:rFonts w:ascii="Trebuchet MS" w:hAnsi="Trebuchet MS"/>
          <w:sz w:val="24"/>
          <w:szCs w:val="24"/>
        </w:rPr>
        <w:t>er übernommenen</w:t>
      </w:r>
      <w:r w:rsidR="009F5B37">
        <w:rPr>
          <w:rFonts w:ascii="Trebuchet MS" w:hAnsi="Trebuchet MS"/>
          <w:sz w:val="24"/>
          <w:szCs w:val="24"/>
        </w:rPr>
        <w:t xml:space="preserve"> Pflege gering</w:t>
      </w:r>
      <w:r w:rsidR="00555D30">
        <w:rPr>
          <w:rFonts w:ascii="Trebuchet MS" w:hAnsi="Trebuchet MS"/>
          <w:sz w:val="24"/>
          <w:szCs w:val="24"/>
        </w:rPr>
        <w:t>er aus – etwa weil aus zeitlichen Gründen nur noch eine Teilzeittätigkeit ausgeübt werden kann.</w:t>
      </w:r>
      <w:r w:rsidR="009F5B37">
        <w:rPr>
          <w:rFonts w:ascii="Trebuchet MS" w:hAnsi="Trebuchet MS"/>
          <w:sz w:val="24"/>
          <w:szCs w:val="24"/>
        </w:rPr>
        <w:t xml:space="preserve"> </w:t>
      </w:r>
      <w:r w:rsidR="00555D30">
        <w:rPr>
          <w:rFonts w:ascii="Trebuchet MS" w:hAnsi="Trebuchet MS"/>
          <w:sz w:val="24"/>
          <w:szCs w:val="24"/>
        </w:rPr>
        <w:t>Der geplante Ausschluss einer Unterhaltsheranziehung mit einem Jahresbruttoeinkommen von bis zu 100.000 Euro stellt insoweit auch nach unserer Auffassung eine hilfreiche Entlastung der betroffenen pflegenden Angehörigen dar.</w:t>
      </w:r>
    </w:p>
    <w:p w:rsidR="00F70B18" w:rsidRDefault="000B41DE" w:rsidP="002612F1">
      <w:pPr>
        <w:spacing w:after="120" w:line="360" w:lineRule="auto"/>
        <w:jc w:val="both"/>
        <w:rPr>
          <w:rFonts w:ascii="Trebuchet MS" w:hAnsi="Trebuchet MS"/>
          <w:sz w:val="24"/>
          <w:szCs w:val="24"/>
        </w:rPr>
      </w:pPr>
      <w:r>
        <w:rPr>
          <w:rFonts w:ascii="Trebuchet MS" w:hAnsi="Trebuchet MS"/>
          <w:sz w:val="24"/>
          <w:szCs w:val="24"/>
        </w:rPr>
        <w:t xml:space="preserve">Dabei ist zu begrüßen, dass die Begrenzung des Unterhaltsrückgriffs sich auf alle entsprechenden Leistungsarten im SGB </w:t>
      </w:r>
      <w:r w:rsidR="00B535B5">
        <w:rPr>
          <w:rFonts w:ascii="Trebuchet MS" w:hAnsi="Trebuchet MS"/>
          <w:sz w:val="24"/>
          <w:szCs w:val="24"/>
        </w:rPr>
        <w:t xml:space="preserve">XII beziehen und insoweit eine Verschiebung der bisher nur für das Vierte Kapitel geltenden Regelung in § 43 SGB XII in das Elfte Kapitel erfolgen soll. Gleiches gilt für </w:t>
      </w:r>
      <w:r w:rsidR="000052E4">
        <w:rPr>
          <w:rFonts w:ascii="Trebuchet MS" w:hAnsi="Trebuchet MS"/>
          <w:sz w:val="24"/>
          <w:szCs w:val="24"/>
        </w:rPr>
        <w:t>die ab 2020 aus dem SGB XII herausgelösten und in das SGB IX übertragenen</w:t>
      </w:r>
      <w:r w:rsidR="00B535B5">
        <w:rPr>
          <w:rFonts w:ascii="Trebuchet MS" w:hAnsi="Trebuchet MS"/>
          <w:sz w:val="24"/>
          <w:szCs w:val="24"/>
        </w:rPr>
        <w:t xml:space="preserve"> Leistungen</w:t>
      </w:r>
      <w:r w:rsidR="000052E4">
        <w:rPr>
          <w:rFonts w:ascii="Trebuchet MS" w:hAnsi="Trebuchet MS"/>
          <w:sz w:val="24"/>
          <w:szCs w:val="24"/>
        </w:rPr>
        <w:t xml:space="preserve"> der Eingliederungshilfe sowie für die entsprechende Angleichung im Bereich des Sozialen Entschädigungsrechts.</w:t>
      </w:r>
    </w:p>
    <w:p w:rsidR="00F70B18" w:rsidRDefault="00F70B18" w:rsidP="002612F1">
      <w:pPr>
        <w:spacing w:after="120" w:line="360" w:lineRule="auto"/>
        <w:jc w:val="both"/>
        <w:rPr>
          <w:rFonts w:ascii="Trebuchet MS" w:hAnsi="Trebuchet MS"/>
          <w:sz w:val="24"/>
          <w:szCs w:val="24"/>
        </w:rPr>
      </w:pPr>
      <w:r>
        <w:rPr>
          <w:rFonts w:ascii="Trebuchet MS" w:hAnsi="Trebuchet MS"/>
          <w:sz w:val="24"/>
          <w:szCs w:val="24"/>
        </w:rPr>
        <w:t>Nichtdestotrotz bleibt die Frage offen, ob der genannte Grenzwert von 100.0</w:t>
      </w:r>
      <w:r w:rsidR="00655238">
        <w:rPr>
          <w:rFonts w:ascii="Trebuchet MS" w:hAnsi="Trebuchet MS"/>
          <w:sz w:val="24"/>
          <w:szCs w:val="24"/>
        </w:rPr>
        <w:t>0</w:t>
      </w:r>
      <w:r>
        <w:rPr>
          <w:rFonts w:ascii="Trebuchet MS" w:hAnsi="Trebuchet MS"/>
          <w:sz w:val="24"/>
          <w:szCs w:val="24"/>
        </w:rPr>
        <w:t>0 Euro angemessen</w:t>
      </w:r>
      <w:r w:rsidR="004831BE">
        <w:rPr>
          <w:rFonts w:ascii="Trebuchet MS" w:hAnsi="Trebuchet MS"/>
          <w:sz w:val="24"/>
          <w:szCs w:val="24"/>
        </w:rPr>
        <w:t xml:space="preserve"> bzw. hinreichend</w:t>
      </w:r>
      <w:r>
        <w:rPr>
          <w:rFonts w:ascii="Trebuchet MS" w:hAnsi="Trebuchet MS"/>
          <w:sz w:val="24"/>
          <w:szCs w:val="24"/>
        </w:rPr>
        <w:t xml:space="preserve"> ist. Immerhin handelt es sich hierbei um einen Jahres</w:t>
      </w:r>
      <w:r w:rsidRPr="00F70B18">
        <w:rPr>
          <w:rFonts w:ascii="Trebuchet MS" w:hAnsi="Trebuchet MS"/>
          <w:i/>
          <w:sz w:val="24"/>
          <w:szCs w:val="24"/>
        </w:rPr>
        <w:t>brutto</w:t>
      </w:r>
      <w:r>
        <w:rPr>
          <w:rFonts w:ascii="Trebuchet MS" w:hAnsi="Trebuchet MS"/>
          <w:sz w:val="24"/>
          <w:szCs w:val="24"/>
        </w:rPr>
        <w:t xml:space="preserve">betrag, der nicht zuletzt angesichts steigender Lebenshaltungskosten im Einzelfall </w:t>
      </w:r>
      <w:r w:rsidR="001966D8">
        <w:rPr>
          <w:rFonts w:ascii="Trebuchet MS" w:hAnsi="Trebuchet MS"/>
          <w:sz w:val="24"/>
          <w:szCs w:val="24"/>
        </w:rPr>
        <w:t>durchaus als zu</w:t>
      </w:r>
      <w:r>
        <w:rPr>
          <w:rFonts w:ascii="Trebuchet MS" w:hAnsi="Trebuchet MS"/>
          <w:sz w:val="24"/>
          <w:szCs w:val="24"/>
        </w:rPr>
        <w:t xml:space="preserve"> niedrig angesetzt erscheinen mag</w:t>
      </w:r>
      <w:r w:rsidR="004831BE">
        <w:rPr>
          <w:rFonts w:ascii="Trebuchet MS" w:hAnsi="Trebuchet MS"/>
          <w:sz w:val="24"/>
          <w:szCs w:val="24"/>
        </w:rPr>
        <w:t>,</w:t>
      </w:r>
      <w:r>
        <w:rPr>
          <w:rFonts w:ascii="Trebuchet MS" w:hAnsi="Trebuchet MS"/>
          <w:sz w:val="24"/>
          <w:szCs w:val="24"/>
        </w:rPr>
        <w:t xml:space="preserve"> </w:t>
      </w:r>
      <w:r w:rsidR="001966D8">
        <w:rPr>
          <w:rFonts w:ascii="Trebuchet MS" w:hAnsi="Trebuchet MS"/>
          <w:sz w:val="24"/>
          <w:szCs w:val="24"/>
        </w:rPr>
        <w:t xml:space="preserve">vor allem dann, </w:t>
      </w:r>
      <w:r>
        <w:rPr>
          <w:rFonts w:ascii="Trebuchet MS" w:hAnsi="Trebuchet MS"/>
          <w:sz w:val="24"/>
          <w:szCs w:val="24"/>
        </w:rPr>
        <w:t xml:space="preserve">wenn – je nach individueller Situation und Konstellation – ein knappes Überschreiten der 100.000-Euro-Grenze eine gleiche oder ggf. sogar höhere Belastung </w:t>
      </w:r>
      <w:r w:rsidR="001966D8">
        <w:rPr>
          <w:rFonts w:ascii="Trebuchet MS" w:hAnsi="Trebuchet MS"/>
          <w:sz w:val="24"/>
          <w:szCs w:val="24"/>
        </w:rPr>
        <w:t>aufgrund der</w:t>
      </w:r>
      <w:r>
        <w:rPr>
          <w:rFonts w:ascii="Trebuchet MS" w:hAnsi="Trebuchet MS"/>
          <w:sz w:val="24"/>
          <w:szCs w:val="24"/>
        </w:rPr>
        <w:t xml:space="preserve"> Unterhaltsheranziehung bedeutet als </w:t>
      </w:r>
      <w:r w:rsidR="001966D8">
        <w:rPr>
          <w:rFonts w:ascii="Trebuchet MS" w:hAnsi="Trebuchet MS"/>
          <w:sz w:val="24"/>
          <w:szCs w:val="24"/>
        </w:rPr>
        <w:t xml:space="preserve">das bisher bei einer </w:t>
      </w:r>
      <w:r>
        <w:rPr>
          <w:rFonts w:ascii="Trebuchet MS" w:hAnsi="Trebuchet MS"/>
          <w:sz w:val="24"/>
          <w:szCs w:val="24"/>
        </w:rPr>
        <w:t>knappe</w:t>
      </w:r>
      <w:r w:rsidR="001966D8">
        <w:rPr>
          <w:rFonts w:ascii="Trebuchet MS" w:hAnsi="Trebuchet MS"/>
          <w:sz w:val="24"/>
          <w:szCs w:val="24"/>
        </w:rPr>
        <w:t>n</w:t>
      </w:r>
      <w:r>
        <w:rPr>
          <w:rFonts w:ascii="Trebuchet MS" w:hAnsi="Trebuchet MS"/>
          <w:sz w:val="24"/>
          <w:szCs w:val="24"/>
        </w:rPr>
        <w:t xml:space="preserve"> Unterschreitung des Grenzwertes</w:t>
      </w:r>
      <w:r w:rsidR="001966D8">
        <w:rPr>
          <w:rFonts w:ascii="Trebuchet MS" w:hAnsi="Trebuchet MS"/>
          <w:sz w:val="24"/>
          <w:szCs w:val="24"/>
        </w:rPr>
        <w:t xml:space="preserve"> der Fall gewesen ist</w:t>
      </w:r>
      <w:r>
        <w:rPr>
          <w:rFonts w:ascii="Trebuchet MS" w:hAnsi="Trebuchet MS"/>
          <w:sz w:val="24"/>
          <w:szCs w:val="24"/>
        </w:rPr>
        <w:t xml:space="preserve">. Außerdem bleibt zu bedenken, dass der </w:t>
      </w:r>
      <w:r w:rsidR="001966D8">
        <w:rPr>
          <w:rFonts w:ascii="Trebuchet MS" w:hAnsi="Trebuchet MS"/>
          <w:sz w:val="24"/>
          <w:szCs w:val="24"/>
        </w:rPr>
        <w:t xml:space="preserve">gänzliche </w:t>
      </w:r>
      <w:r>
        <w:rPr>
          <w:rFonts w:ascii="Trebuchet MS" w:hAnsi="Trebuchet MS"/>
          <w:sz w:val="24"/>
          <w:szCs w:val="24"/>
        </w:rPr>
        <w:t xml:space="preserve">Verzicht auf Elternbeiträge bei volljährigen </w:t>
      </w:r>
      <w:r>
        <w:rPr>
          <w:rFonts w:ascii="Trebuchet MS" w:hAnsi="Trebuchet MS"/>
          <w:sz w:val="24"/>
          <w:szCs w:val="24"/>
        </w:rPr>
        <w:lastRenderedPageBreak/>
        <w:t xml:space="preserve">Leistungsbeziehern </w:t>
      </w:r>
      <w:r w:rsidR="001966D8">
        <w:rPr>
          <w:rFonts w:ascii="Trebuchet MS" w:hAnsi="Trebuchet MS"/>
          <w:sz w:val="24"/>
          <w:szCs w:val="24"/>
        </w:rPr>
        <w:t>zu Irritationen führen kann, wenn in anderen Leistungsbereichen die 100.000-Euro-Grenze besteht. Hier wären aus Sicht mancher Mitgliedsorganisationen der BAG SELBSTHILFE zumindest klarstellende Formulierungen im Gesetzestext hilfreich, ähnlich wie etwa</w:t>
      </w:r>
      <w:r w:rsidR="000614C8">
        <w:rPr>
          <w:rFonts w:ascii="Trebuchet MS" w:hAnsi="Trebuchet MS"/>
          <w:sz w:val="24"/>
          <w:szCs w:val="24"/>
        </w:rPr>
        <w:t xml:space="preserve"> bei der</w:t>
      </w:r>
      <w:r w:rsidR="001966D8">
        <w:rPr>
          <w:rFonts w:ascii="Trebuchet MS" w:hAnsi="Trebuchet MS"/>
          <w:sz w:val="24"/>
          <w:szCs w:val="24"/>
        </w:rPr>
        <w:t xml:space="preserve"> begrüßenswerte</w:t>
      </w:r>
      <w:r w:rsidR="000614C8">
        <w:rPr>
          <w:rFonts w:ascii="Trebuchet MS" w:hAnsi="Trebuchet MS"/>
          <w:sz w:val="24"/>
          <w:szCs w:val="24"/>
        </w:rPr>
        <w:t>n</w:t>
      </w:r>
      <w:r w:rsidR="001966D8">
        <w:rPr>
          <w:rFonts w:ascii="Trebuchet MS" w:hAnsi="Trebuchet MS"/>
          <w:sz w:val="24"/>
          <w:szCs w:val="24"/>
        </w:rPr>
        <w:t xml:space="preserve"> weitere</w:t>
      </w:r>
      <w:r w:rsidR="000614C8">
        <w:rPr>
          <w:rFonts w:ascii="Trebuchet MS" w:hAnsi="Trebuchet MS"/>
          <w:sz w:val="24"/>
          <w:szCs w:val="24"/>
        </w:rPr>
        <w:t>n</w:t>
      </w:r>
      <w:r w:rsidR="001966D8">
        <w:rPr>
          <w:rFonts w:ascii="Trebuchet MS" w:hAnsi="Trebuchet MS"/>
          <w:sz w:val="24"/>
          <w:szCs w:val="24"/>
        </w:rPr>
        <w:t xml:space="preserve"> Zuordnung</w:t>
      </w:r>
      <w:r w:rsidR="004831BE">
        <w:rPr>
          <w:rFonts w:ascii="Trebuchet MS" w:hAnsi="Trebuchet MS"/>
          <w:sz w:val="24"/>
          <w:szCs w:val="24"/>
        </w:rPr>
        <w:t xml:space="preserve"> des Leistungsberechtigten</w:t>
      </w:r>
      <w:r w:rsidR="001966D8">
        <w:rPr>
          <w:rFonts w:ascii="Trebuchet MS" w:hAnsi="Trebuchet MS"/>
          <w:sz w:val="24"/>
          <w:szCs w:val="24"/>
        </w:rPr>
        <w:t xml:space="preserve"> zum Vierten Kapitel SGB XII (und nicht wie bisher zum Dritten Kapitel SGB XII), wenn die Einkommensgrenze von 100.000 Euro überschritten wird.</w:t>
      </w:r>
    </w:p>
    <w:p w:rsidR="000052E4" w:rsidRDefault="000052E4" w:rsidP="002612F1">
      <w:pPr>
        <w:spacing w:after="120" w:line="360" w:lineRule="auto"/>
        <w:jc w:val="both"/>
        <w:rPr>
          <w:rFonts w:ascii="Trebuchet MS" w:hAnsi="Trebuchet MS"/>
          <w:sz w:val="24"/>
          <w:szCs w:val="24"/>
        </w:rPr>
      </w:pPr>
    </w:p>
    <w:p w:rsidR="000052E4" w:rsidRPr="00AB3850" w:rsidRDefault="000052E4" w:rsidP="002612F1">
      <w:pPr>
        <w:spacing w:after="120" w:line="360" w:lineRule="auto"/>
        <w:jc w:val="both"/>
        <w:rPr>
          <w:rFonts w:ascii="Trebuchet MS" w:hAnsi="Trebuchet MS"/>
          <w:b/>
          <w:sz w:val="24"/>
          <w:szCs w:val="24"/>
        </w:rPr>
      </w:pPr>
      <w:r w:rsidRPr="00AB3850">
        <w:rPr>
          <w:rFonts w:ascii="Trebuchet MS" w:hAnsi="Trebuchet MS"/>
          <w:b/>
          <w:sz w:val="24"/>
          <w:szCs w:val="24"/>
        </w:rPr>
        <w:t xml:space="preserve">2. Anspruch auf Grundsicherungsleistungen für </w:t>
      </w:r>
      <w:r w:rsidR="00C82EA5">
        <w:rPr>
          <w:rFonts w:ascii="Trebuchet MS" w:hAnsi="Trebuchet MS"/>
          <w:b/>
          <w:sz w:val="24"/>
          <w:szCs w:val="24"/>
        </w:rPr>
        <w:t>Menschen mit Behinderungen</w:t>
      </w:r>
      <w:r w:rsidRPr="00AB3850">
        <w:rPr>
          <w:rFonts w:ascii="Trebuchet MS" w:hAnsi="Trebuchet MS"/>
          <w:b/>
          <w:sz w:val="24"/>
          <w:szCs w:val="24"/>
        </w:rPr>
        <w:t xml:space="preserve"> </w:t>
      </w:r>
      <w:r w:rsidR="00C82EA5">
        <w:rPr>
          <w:rFonts w:ascii="Trebuchet MS" w:hAnsi="Trebuchet MS"/>
          <w:b/>
          <w:sz w:val="24"/>
          <w:szCs w:val="24"/>
        </w:rPr>
        <w:t>im Berufsbildungsbereich von</w:t>
      </w:r>
      <w:r w:rsidRPr="00AB3850">
        <w:rPr>
          <w:rFonts w:ascii="Trebuchet MS" w:hAnsi="Trebuchet MS"/>
          <w:b/>
          <w:sz w:val="24"/>
          <w:szCs w:val="24"/>
        </w:rPr>
        <w:t xml:space="preserve"> Werkstätten für behinderte Menschen </w:t>
      </w:r>
    </w:p>
    <w:p w:rsidR="000052E4" w:rsidRDefault="00E74858" w:rsidP="002612F1">
      <w:pPr>
        <w:spacing w:after="120" w:line="360" w:lineRule="auto"/>
        <w:jc w:val="both"/>
        <w:rPr>
          <w:rFonts w:ascii="Trebuchet MS" w:hAnsi="Trebuchet MS"/>
          <w:sz w:val="24"/>
          <w:szCs w:val="24"/>
        </w:rPr>
      </w:pPr>
      <w:r>
        <w:rPr>
          <w:rFonts w:ascii="Trebuchet MS" w:hAnsi="Trebuchet MS"/>
          <w:sz w:val="24"/>
          <w:szCs w:val="24"/>
        </w:rPr>
        <w:t xml:space="preserve">Es ist </w:t>
      </w:r>
      <w:r w:rsidR="000614C8">
        <w:rPr>
          <w:rFonts w:ascii="Trebuchet MS" w:hAnsi="Trebuchet MS"/>
          <w:sz w:val="24"/>
          <w:szCs w:val="24"/>
        </w:rPr>
        <w:t xml:space="preserve">stets </w:t>
      </w:r>
      <w:r>
        <w:rPr>
          <w:rFonts w:ascii="Trebuchet MS" w:hAnsi="Trebuchet MS"/>
          <w:sz w:val="24"/>
          <w:szCs w:val="24"/>
        </w:rPr>
        <w:t xml:space="preserve">hilfreich, wenn </w:t>
      </w:r>
      <w:r w:rsidR="000614C8">
        <w:rPr>
          <w:rFonts w:ascii="Trebuchet MS" w:hAnsi="Trebuchet MS"/>
          <w:sz w:val="24"/>
          <w:szCs w:val="24"/>
        </w:rPr>
        <w:t xml:space="preserve">die </w:t>
      </w:r>
      <w:r>
        <w:rPr>
          <w:rFonts w:ascii="Trebuchet MS" w:hAnsi="Trebuchet MS"/>
          <w:sz w:val="24"/>
          <w:szCs w:val="24"/>
        </w:rPr>
        <w:t>von der Rechtsprechung</w:t>
      </w:r>
      <w:r w:rsidRPr="00E74858">
        <w:rPr>
          <w:rFonts w:ascii="Trebuchet MS" w:hAnsi="Trebuchet MS"/>
          <w:sz w:val="24"/>
          <w:szCs w:val="24"/>
        </w:rPr>
        <w:t xml:space="preserve"> </w:t>
      </w:r>
      <w:r>
        <w:rPr>
          <w:rFonts w:ascii="Trebuchet MS" w:hAnsi="Trebuchet MS"/>
          <w:sz w:val="24"/>
          <w:szCs w:val="24"/>
        </w:rPr>
        <w:t>entwickelte Rechtssätze bzw. hergeleitete</w:t>
      </w:r>
      <w:r w:rsidR="000614C8">
        <w:rPr>
          <w:rFonts w:ascii="Trebuchet MS" w:hAnsi="Trebuchet MS"/>
          <w:sz w:val="24"/>
          <w:szCs w:val="24"/>
        </w:rPr>
        <w:t>n</w:t>
      </w:r>
      <w:r>
        <w:rPr>
          <w:rFonts w:ascii="Trebuchet MS" w:hAnsi="Trebuchet MS"/>
          <w:sz w:val="24"/>
          <w:szCs w:val="24"/>
        </w:rPr>
        <w:t xml:space="preserve"> Ansprüche </w:t>
      </w:r>
      <w:r w:rsidR="00AB3850">
        <w:rPr>
          <w:rFonts w:ascii="Trebuchet MS" w:hAnsi="Trebuchet MS"/>
          <w:sz w:val="24"/>
          <w:szCs w:val="24"/>
        </w:rPr>
        <w:t>im Anschluss</w:t>
      </w:r>
      <w:r w:rsidR="000614C8">
        <w:rPr>
          <w:rFonts w:ascii="Trebuchet MS" w:hAnsi="Trebuchet MS"/>
          <w:sz w:val="24"/>
          <w:szCs w:val="24"/>
        </w:rPr>
        <w:t xml:space="preserve"> zügig</w:t>
      </w:r>
      <w:r>
        <w:rPr>
          <w:rFonts w:ascii="Trebuchet MS" w:hAnsi="Trebuchet MS"/>
          <w:sz w:val="24"/>
          <w:szCs w:val="24"/>
        </w:rPr>
        <w:t xml:space="preserve"> eine klare gesetzliche Verankerung finden, da damit </w:t>
      </w:r>
      <w:r w:rsidR="00AB3850">
        <w:rPr>
          <w:rFonts w:ascii="Trebuchet MS" w:hAnsi="Trebuchet MS"/>
          <w:sz w:val="24"/>
          <w:szCs w:val="24"/>
        </w:rPr>
        <w:t>zum einen etwaige</w:t>
      </w:r>
      <w:r>
        <w:rPr>
          <w:rFonts w:ascii="Trebuchet MS" w:hAnsi="Trebuchet MS"/>
          <w:sz w:val="24"/>
          <w:szCs w:val="24"/>
        </w:rPr>
        <w:t xml:space="preserve"> rechtliche Zweifel </w:t>
      </w:r>
      <w:r w:rsidR="00C82EA5">
        <w:rPr>
          <w:rFonts w:ascii="Trebuchet MS" w:hAnsi="Trebuchet MS"/>
          <w:sz w:val="24"/>
          <w:szCs w:val="24"/>
        </w:rPr>
        <w:t xml:space="preserve">ausgeräumt </w:t>
      </w:r>
      <w:r w:rsidR="004831BE">
        <w:rPr>
          <w:rFonts w:ascii="Trebuchet MS" w:hAnsi="Trebuchet MS"/>
          <w:sz w:val="24"/>
          <w:szCs w:val="24"/>
        </w:rPr>
        <w:t>(und damit verbundene langwierige Rechtsstreitigkeiten</w:t>
      </w:r>
      <w:r w:rsidR="00C82EA5">
        <w:rPr>
          <w:rFonts w:ascii="Trebuchet MS" w:hAnsi="Trebuchet MS"/>
          <w:sz w:val="24"/>
          <w:szCs w:val="24"/>
        </w:rPr>
        <w:t xml:space="preserve"> vermieden</w:t>
      </w:r>
      <w:r w:rsidR="004831BE">
        <w:rPr>
          <w:rFonts w:ascii="Trebuchet MS" w:hAnsi="Trebuchet MS"/>
          <w:sz w:val="24"/>
          <w:szCs w:val="24"/>
        </w:rPr>
        <w:t xml:space="preserve">) </w:t>
      </w:r>
      <w:r>
        <w:rPr>
          <w:rFonts w:ascii="Trebuchet MS" w:hAnsi="Trebuchet MS"/>
          <w:sz w:val="24"/>
          <w:szCs w:val="24"/>
        </w:rPr>
        <w:t xml:space="preserve">werden und </w:t>
      </w:r>
      <w:r w:rsidR="00AB3850">
        <w:rPr>
          <w:rFonts w:ascii="Trebuchet MS" w:hAnsi="Trebuchet MS"/>
          <w:sz w:val="24"/>
          <w:szCs w:val="24"/>
        </w:rPr>
        <w:t xml:space="preserve">zum anderen dem Gesetz </w:t>
      </w:r>
      <w:r w:rsidR="00C82EA5">
        <w:rPr>
          <w:rFonts w:ascii="Trebuchet MS" w:hAnsi="Trebuchet MS"/>
          <w:sz w:val="24"/>
          <w:szCs w:val="24"/>
        </w:rPr>
        <w:t>klar entnommen werden kann</w:t>
      </w:r>
      <w:r w:rsidR="00AB3850">
        <w:rPr>
          <w:rFonts w:ascii="Trebuchet MS" w:hAnsi="Trebuchet MS"/>
          <w:sz w:val="24"/>
          <w:szCs w:val="24"/>
        </w:rPr>
        <w:t xml:space="preserve">, ob und inwieweit ein Leistungsanspruch besteht. </w:t>
      </w:r>
      <w:r w:rsidR="004831BE">
        <w:rPr>
          <w:rFonts w:ascii="Trebuchet MS" w:hAnsi="Trebuchet MS"/>
          <w:sz w:val="24"/>
          <w:szCs w:val="24"/>
        </w:rPr>
        <w:t>Es ist daher konsequent, den</w:t>
      </w:r>
      <w:r w:rsidR="00AB3850">
        <w:rPr>
          <w:rFonts w:ascii="Trebuchet MS" w:hAnsi="Trebuchet MS"/>
          <w:sz w:val="24"/>
          <w:szCs w:val="24"/>
        </w:rPr>
        <w:t xml:space="preserve"> von der </w:t>
      </w:r>
      <w:r>
        <w:rPr>
          <w:rFonts w:ascii="Trebuchet MS" w:hAnsi="Trebuchet MS"/>
          <w:sz w:val="24"/>
          <w:szCs w:val="24"/>
        </w:rPr>
        <w:t>Rechtsprechung hergeleitete</w:t>
      </w:r>
      <w:r w:rsidR="004831BE">
        <w:rPr>
          <w:rFonts w:ascii="Trebuchet MS" w:hAnsi="Trebuchet MS"/>
          <w:sz w:val="24"/>
          <w:szCs w:val="24"/>
        </w:rPr>
        <w:t>n</w:t>
      </w:r>
      <w:r>
        <w:rPr>
          <w:rFonts w:ascii="Trebuchet MS" w:hAnsi="Trebuchet MS"/>
          <w:sz w:val="24"/>
          <w:szCs w:val="24"/>
        </w:rPr>
        <w:t xml:space="preserve"> Anspruch auf Grundsicherungsleistungen von Menschen mit Behinderungen, die das Eingangsverfahren sowie den Berufsbildungsbereich einer Werkstatt für behinderte Menschen durchlaufen, </w:t>
      </w:r>
      <w:r w:rsidR="002A5649">
        <w:rPr>
          <w:rFonts w:ascii="Trebuchet MS" w:hAnsi="Trebuchet MS"/>
          <w:sz w:val="24"/>
          <w:szCs w:val="24"/>
        </w:rPr>
        <w:t>auch gesetzlich zu verankern.</w:t>
      </w:r>
    </w:p>
    <w:p w:rsidR="002A5649" w:rsidRDefault="002A5649" w:rsidP="002612F1">
      <w:pPr>
        <w:spacing w:after="120" w:line="360" w:lineRule="auto"/>
        <w:jc w:val="both"/>
        <w:rPr>
          <w:rFonts w:ascii="Trebuchet MS" w:hAnsi="Trebuchet MS"/>
          <w:sz w:val="24"/>
          <w:szCs w:val="24"/>
        </w:rPr>
      </w:pPr>
    </w:p>
    <w:p w:rsidR="002A5649" w:rsidRPr="002A5649" w:rsidRDefault="002A5649" w:rsidP="002612F1">
      <w:pPr>
        <w:spacing w:after="120" w:line="360" w:lineRule="auto"/>
        <w:jc w:val="both"/>
        <w:rPr>
          <w:rFonts w:ascii="Trebuchet MS" w:hAnsi="Trebuchet MS"/>
          <w:b/>
          <w:sz w:val="24"/>
          <w:szCs w:val="24"/>
        </w:rPr>
      </w:pPr>
      <w:r w:rsidRPr="002A5649">
        <w:rPr>
          <w:rFonts w:ascii="Trebuchet MS" w:hAnsi="Trebuchet MS"/>
          <w:b/>
          <w:sz w:val="24"/>
          <w:szCs w:val="24"/>
        </w:rPr>
        <w:t>3. Nichtanrechnung der Rentenzahlung für Januar 2020</w:t>
      </w:r>
    </w:p>
    <w:p w:rsidR="002A5649" w:rsidRDefault="002A5649" w:rsidP="002612F1">
      <w:pPr>
        <w:spacing w:after="120" w:line="360" w:lineRule="auto"/>
        <w:jc w:val="both"/>
        <w:rPr>
          <w:rFonts w:ascii="Trebuchet MS" w:hAnsi="Trebuchet MS"/>
          <w:sz w:val="24"/>
          <w:szCs w:val="24"/>
        </w:rPr>
      </w:pPr>
      <w:r>
        <w:rPr>
          <w:rFonts w:ascii="Trebuchet MS" w:hAnsi="Trebuchet MS"/>
          <w:sz w:val="24"/>
          <w:szCs w:val="24"/>
        </w:rPr>
        <w:t>Nachdem die bestehende Problematik im Hinblick auf den Rentenauszahlungstag und de</w:t>
      </w:r>
      <w:r w:rsidR="000614C8">
        <w:rPr>
          <w:rFonts w:ascii="Trebuchet MS" w:hAnsi="Trebuchet MS"/>
          <w:sz w:val="24"/>
          <w:szCs w:val="24"/>
        </w:rPr>
        <w:t>n</w:t>
      </w:r>
      <w:r>
        <w:rPr>
          <w:rFonts w:ascii="Trebuchet MS" w:hAnsi="Trebuchet MS"/>
          <w:sz w:val="24"/>
          <w:szCs w:val="24"/>
        </w:rPr>
        <w:t xml:space="preserve"> bevorstehenden Systemwechsel </w:t>
      </w:r>
      <w:r w:rsidR="00F82CFC">
        <w:rPr>
          <w:rFonts w:ascii="Trebuchet MS" w:hAnsi="Trebuchet MS"/>
          <w:sz w:val="24"/>
          <w:szCs w:val="24"/>
        </w:rPr>
        <w:t xml:space="preserve">aufgrund des BTHG erkannt worden war, ist </w:t>
      </w:r>
      <w:r w:rsidR="000614C8">
        <w:rPr>
          <w:rFonts w:ascii="Trebuchet MS" w:hAnsi="Trebuchet MS"/>
          <w:sz w:val="24"/>
          <w:szCs w:val="24"/>
        </w:rPr>
        <w:t xml:space="preserve">zwar früh </w:t>
      </w:r>
      <w:r w:rsidR="00F82CFC">
        <w:rPr>
          <w:rFonts w:ascii="Trebuchet MS" w:hAnsi="Trebuchet MS"/>
          <w:sz w:val="24"/>
          <w:szCs w:val="24"/>
        </w:rPr>
        <w:t>eine entsprechende gesetzliche Regelung angekündigt worden, um für die Betroffenen eine entsprechende Leistungslücke zu vermeiden.</w:t>
      </w:r>
      <w:r w:rsidR="000614C8">
        <w:rPr>
          <w:rFonts w:ascii="Trebuchet MS" w:hAnsi="Trebuchet MS"/>
          <w:sz w:val="24"/>
          <w:szCs w:val="24"/>
        </w:rPr>
        <w:t xml:space="preserve"> Dennoch ist wertvolle Zeit</w:t>
      </w:r>
      <w:r w:rsidR="00C82EA5">
        <w:rPr>
          <w:rFonts w:ascii="Trebuchet MS" w:hAnsi="Trebuchet MS"/>
          <w:sz w:val="24"/>
          <w:szCs w:val="24"/>
        </w:rPr>
        <w:t xml:space="preserve"> vergangen, bis ein</w:t>
      </w:r>
      <w:r w:rsidR="000614C8">
        <w:rPr>
          <w:rFonts w:ascii="Trebuchet MS" w:hAnsi="Trebuchet MS"/>
          <w:sz w:val="24"/>
          <w:szCs w:val="24"/>
        </w:rPr>
        <w:t xml:space="preserve"> entsprechende</w:t>
      </w:r>
      <w:r w:rsidR="00C82EA5">
        <w:rPr>
          <w:rFonts w:ascii="Trebuchet MS" w:hAnsi="Trebuchet MS"/>
          <w:sz w:val="24"/>
          <w:szCs w:val="24"/>
        </w:rPr>
        <w:t>r</w:t>
      </w:r>
      <w:r w:rsidR="000614C8">
        <w:rPr>
          <w:rFonts w:ascii="Trebuchet MS" w:hAnsi="Trebuchet MS"/>
          <w:sz w:val="24"/>
          <w:szCs w:val="24"/>
        </w:rPr>
        <w:t xml:space="preserve"> Regelungs</w:t>
      </w:r>
      <w:r w:rsidR="00C82EA5">
        <w:rPr>
          <w:rFonts w:ascii="Trebuchet MS" w:hAnsi="Trebuchet MS"/>
          <w:sz w:val="24"/>
          <w:szCs w:val="24"/>
        </w:rPr>
        <w:t>entwurf</w:t>
      </w:r>
      <w:r w:rsidR="000614C8">
        <w:rPr>
          <w:rFonts w:ascii="Trebuchet MS" w:hAnsi="Trebuchet MS"/>
          <w:sz w:val="24"/>
          <w:szCs w:val="24"/>
        </w:rPr>
        <w:t xml:space="preserve"> nunmehr </w:t>
      </w:r>
      <w:r w:rsidR="00C82EA5">
        <w:rPr>
          <w:rFonts w:ascii="Trebuchet MS" w:hAnsi="Trebuchet MS"/>
          <w:sz w:val="24"/>
          <w:szCs w:val="24"/>
        </w:rPr>
        <w:t>vorgelegt worden ist</w:t>
      </w:r>
      <w:r w:rsidR="000614C8">
        <w:rPr>
          <w:rFonts w:ascii="Trebuchet MS" w:hAnsi="Trebuchet MS"/>
          <w:sz w:val="24"/>
          <w:szCs w:val="24"/>
        </w:rPr>
        <w:t>. Es bleibt zu hoffen, dass eine</w:t>
      </w:r>
      <w:r w:rsidR="00F82CFC">
        <w:rPr>
          <w:rFonts w:ascii="Trebuchet MS" w:hAnsi="Trebuchet MS"/>
          <w:sz w:val="24"/>
          <w:szCs w:val="24"/>
        </w:rPr>
        <w:t xml:space="preserve"> zügige Verabschiedung des vorliegenden Gesetzes</w:t>
      </w:r>
      <w:r w:rsidR="00C82EA5">
        <w:rPr>
          <w:rFonts w:ascii="Trebuchet MS" w:hAnsi="Trebuchet MS"/>
          <w:sz w:val="24"/>
          <w:szCs w:val="24"/>
        </w:rPr>
        <w:t xml:space="preserve"> es </w:t>
      </w:r>
      <w:r w:rsidR="004831BE">
        <w:rPr>
          <w:rFonts w:ascii="Trebuchet MS" w:hAnsi="Trebuchet MS"/>
          <w:sz w:val="24"/>
          <w:szCs w:val="24"/>
        </w:rPr>
        <w:t>den</w:t>
      </w:r>
      <w:r w:rsidR="00F82CFC">
        <w:rPr>
          <w:rFonts w:ascii="Trebuchet MS" w:hAnsi="Trebuchet MS"/>
          <w:sz w:val="24"/>
          <w:szCs w:val="24"/>
        </w:rPr>
        <w:t xml:space="preserve"> Trägern der Grundsicherung</w:t>
      </w:r>
      <w:r w:rsidR="00C82EA5">
        <w:rPr>
          <w:rFonts w:ascii="Trebuchet MS" w:hAnsi="Trebuchet MS"/>
          <w:sz w:val="24"/>
          <w:szCs w:val="24"/>
        </w:rPr>
        <w:t xml:space="preserve"> dennoch ermöglicht, sich </w:t>
      </w:r>
      <w:r w:rsidR="004831BE">
        <w:rPr>
          <w:rFonts w:ascii="Trebuchet MS" w:hAnsi="Trebuchet MS"/>
          <w:sz w:val="24"/>
          <w:szCs w:val="24"/>
        </w:rPr>
        <w:t>frühzeitig</w:t>
      </w:r>
      <w:r w:rsidR="00C82EA5">
        <w:rPr>
          <w:rFonts w:ascii="Trebuchet MS" w:hAnsi="Trebuchet MS"/>
          <w:sz w:val="24"/>
          <w:szCs w:val="24"/>
        </w:rPr>
        <w:t xml:space="preserve"> vo</w:t>
      </w:r>
      <w:r w:rsidR="00655238">
        <w:rPr>
          <w:rFonts w:ascii="Trebuchet MS" w:hAnsi="Trebuchet MS"/>
          <w:sz w:val="24"/>
          <w:szCs w:val="24"/>
        </w:rPr>
        <w:t>r</w:t>
      </w:r>
      <w:r w:rsidR="00C82EA5">
        <w:rPr>
          <w:rFonts w:ascii="Trebuchet MS" w:hAnsi="Trebuchet MS"/>
          <w:sz w:val="24"/>
          <w:szCs w:val="24"/>
        </w:rPr>
        <w:t>zu</w:t>
      </w:r>
      <w:r w:rsidR="00655238">
        <w:rPr>
          <w:rFonts w:ascii="Trebuchet MS" w:hAnsi="Trebuchet MS"/>
          <w:sz w:val="24"/>
          <w:szCs w:val="24"/>
        </w:rPr>
        <w:t>bereit</w:t>
      </w:r>
      <w:r w:rsidR="00C82EA5">
        <w:rPr>
          <w:rFonts w:ascii="Trebuchet MS" w:hAnsi="Trebuchet MS"/>
          <w:sz w:val="24"/>
          <w:szCs w:val="24"/>
        </w:rPr>
        <w:t>en</w:t>
      </w:r>
      <w:r w:rsidR="00A51B1D">
        <w:rPr>
          <w:rFonts w:ascii="Trebuchet MS" w:hAnsi="Trebuchet MS"/>
          <w:sz w:val="24"/>
          <w:szCs w:val="24"/>
        </w:rPr>
        <w:t>, so dass</w:t>
      </w:r>
      <w:r w:rsidR="00655238">
        <w:rPr>
          <w:rFonts w:ascii="Trebuchet MS" w:hAnsi="Trebuchet MS"/>
          <w:sz w:val="24"/>
          <w:szCs w:val="24"/>
        </w:rPr>
        <w:t xml:space="preserve"> den Betroffenen insoweit keine Nachteile entstehen</w:t>
      </w:r>
      <w:r w:rsidR="000614C8">
        <w:rPr>
          <w:rFonts w:ascii="Trebuchet MS" w:hAnsi="Trebuchet MS"/>
          <w:sz w:val="24"/>
          <w:szCs w:val="24"/>
        </w:rPr>
        <w:t xml:space="preserve"> </w:t>
      </w:r>
      <w:r w:rsidR="00655238">
        <w:rPr>
          <w:rFonts w:ascii="Trebuchet MS" w:hAnsi="Trebuchet MS"/>
          <w:sz w:val="24"/>
          <w:szCs w:val="24"/>
        </w:rPr>
        <w:t>(etwa eine aufwendige Beantragung bzw. Geltendmachung ausstehender Zahlungen im Nachhinein).</w:t>
      </w:r>
    </w:p>
    <w:p w:rsidR="00CD3D1B" w:rsidRPr="00CD3D1B" w:rsidRDefault="00F82CFC" w:rsidP="002612F1">
      <w:pPr>
        <w:spacing w:after="120" w:line="360" w:lineRule="auto"/>
        <w:jc w:val="both"/>
        <w:rPr>
          <w:rFonts w:ascii="Trebuchet MS" w:hAnsi="Trebuchet MS"/>
          <w:b/>
          <w:sz w:val="24"/>
          <w:szCs w:val="24"/>
        </w:rPr>
      </w:pPr>
      <w:r>
        <w:rPr>
          <w:rFonts w:ascii="Trebuchet MS" w:hAnsi="Trebuchet MS"/>
          <w:b/>
          <w:sz w:val="24"/>
          <w:szCs w:val="24"/>
        </w:rPr>
        <w:lastRenderedPageBreak/>
        <w:t>4</w:t>
      </w:r>
      <w:r w:rsidR="00CD3D1B">
        <w:rPr>
          <w:rFonts w:ascii="Trebuchet MS" w:hAnsi="Trebuchet MS"/>
          <w:b/>
          <w:sz w:val="24"/>
          <w:szCs w:val="24"/>
        </w:rPr>
        <w:t xml:space="preserve">. </w:t>
      </w:r>
      <w:r>
        <w:rPr>
          <w:rFonts w:ascii="Trebuchet MS" w:hAnsi="Trebuchet MS"/>
          <w:b/>
          <w:sz w:val="24"/>
          <w:szCs w:val="24"/>
        </w:rPr>
        <w:t>Dauerhafte Finanzierung der Ergänzenden unabhängigen Teilhabeberatung</w:t>
      </w:r>
    </w:p>
    <w:p w:rsidR="00B47EEE" w:rsidRDefault="00D22919" w:rsidP="00B47EEE">
      <w:pPr>
        <w:spacing w:after="120" w:line="360" w:lineRule="auto"/>
        <w:jc w:val="both"/>
        <w:rPr>
          <w:rFonts w:ascii="Trebuchet MS" w:hAnsi="Trebuchet MS"/>
          <w:sz w:val="24"/>
          <w:szCs w:val="24"/>
        </w:rPr>
      </w:pPr>
      <w:r>
        <w:rPr>
          <w:rFonts w:ascii="Trebuchet MS" w:hAnsi="Trebuchet MS"/>
          <w:sz w:val="24"/>
          <w:szCs w:val="24"/>
        </w:rPr>
        <w:t>Die geplante Neuregelung bzw. Ergänzung in § 32 SGB IX wird ausdrücklich begrüßt.</w:t>
      </w:r>
    </w:p>
    <w:p w:rsidR="00B47EEE" w:rsidRPr="00F82CFC" w:rsidRDefault="00B47EEE" w:rsidP="00B47EEE">
      <w:pPr>
        <w:spacing w:after="120" w:line="360" w:lineRule="auto"/>
        <w:jc w:val="both"/>
        <w:rPr>
          <w:rFonts w:ascii="Trebuchet MS" w:eastAsiaTheme="minorHAnsi" w:hAnsi="Trebuchet MS" w:cstheme="minorBidi"/>
          <w:sz w:val="24"/>
          <w:szCs w:val="24"/>
        </w:rPr>
      </w:pPr>
      <w:r w:rsidRPr="00F82CFC">
        <w:rPr>
          <w:rFonts w:ascii="Trebuchet MS" w:eastAsiaTheme="minorHAnsi" w:hAnsi="Trebuchet MS" w:cstheme="minorBidi"/>
          <w:sz w:val="24"/>
          <w:szCs w:val="24"/>
        </w:rPr>
        <w:t xml:space="preserve">Der Bedarf an einer zusätzlichen Beratungsstruktur war bei den Erörterungen zum Bundesteilhabegesetz (BTHG) von allen Beteiligten von Beginn an unterstrichen worden, und dementsprechend stieß die Einführung der </w:t>
      </w:r>
      <w:r w:rsidR="00C82EA5">
        <w:rPr>
          <w:rFonts w:ascii="Trebuchet MS" w:eastAsiaTheme="minorHAnsi" w:hAnsi="Trebuchet MS" w:cstheme="minorBidi"/>
          <w:sz w:val="24"/>
          <w:szCs w:val="24"/>
        </w:rPr>
        <w:t>Ergänzenden unabhängigen Teilhabeberatung (</w:t>
      </w:r>
      <w:r w:rsidRPr="00F82CFC">
        <w:rPr>
          <w:rFonts w:ascii="Trebuchet MS" w:eastAsiaTheme="minorHAnsi" w:hAnsi="Trebuchet MS" w:cstheme="minorBidi"/>
          <w:sz w:val="24"/>
          <w:szCs w:val="24"/>
        </w:rPr>
        <w:t>EUTB</w:t>
      </w:r>
      <w:r w:rsidR="00C82EA5">
        <w:rPr>
          <w:rFonts w:ascii="Trebuchet MS" w:eastAsiaTheme="minorHAnsi" w:hAnsi="Trebuchet MS" w:cstheme="minorBidi"/>
          <w:sz w:val="24"/>
          <w:szCs w:val="24"/>
        </w:rPr>
        <w:t>)</w:t>
      </w:r>
      <w:r w:rsidRPr="00F82CFC">
        <w:rPr>
          <w:rFonts w:ascii="Trebuchet MS" w:eastAsiaTheme="minorHAnsi" w:hAnsi="Trebuchet MS" w:cstheme="minorBidi"/>
          <w:sz w:val="24"/>
          <w:szCs w:val="24"/>
        </w:rPr>
        <w:t xml:space="preserve"> auch durchweg auf positive Resonanz.</w:t>
      </w:r>
      <w:r>
        <w:rPr>
          <w:rFonts w:ascii="Trebuchet MS" w:eastAsiaTheme="minorHAnsi" w:hAnsi="Trebuchet MS" w:cstheme="minorBidi"/>
          <w:sz w:val="24"/>
          <w:szCs w:val="24"/>
        </w:rPr>
        <w:t xml:space="preserve"> </w:t>
      </w:r>
      <w:r w:rsidRPr="00F82CFC">
        <w:rPr>
          <w:rFonts w:ascii="Trebuchet MS" w:eastAsiaTheme="minorHAnsi" w:hAnsi="Trebuchet MS" w:cstheme="minorBidi"/>
          <w:sz w:val="24"/>
          <w:szCs w:val="24"/>
        </w:rPr>
        <w:t>Das Besondere an der EUTB ist die Verankerung des Peer-Konzepts: Menschen mit Behinderung oder chronischer Erkrankung werden von anderen Betroffenen beraten, die aus eigener Erfahrung bzw. aus ähnlicher Perspektive zielgerichtet und auf die Situation der Ratsuchende zugeschnitten Informationen und Hinweise geben können. Damit greift die EUTB eines der zentralen Wesensmerkmale der Selbsthilfe auf</w:t>
      </w:r>
      <w:r w:rsidR="000614C8">
        <w:rPr>
          <w:rFonts w:ascii="Trebuchet MS" w:eastAsiaTheme="minorHAnsi" w:hAnsi="Trebuchet MS" w:cstheme="minorBidi"/>
          <w:sz w:val="24"/>
          <w:szCs w:val="24"/>
        </w:rPr>
        <w:t>.</w:t>
      </w:r>
    </w:p>
    <w:p w:rsidR="00CD3D1B" w:rsidRPr="00B47EEE" w:rsidRDefault="00B47EEE" w:rsidP="002612F1">
      <w:pPr>
        <w:spacing w:after="120" w:line="360" w:lineRule="auto"/>
        <w:jc w:val="both"/>
        <w:rPr>
          <w:rFonts w:ascii="Trebuchet MS" w:eastAsiaTheme="minorHAnsi" w:hAnsi="Trebuchet MS" w:cstheme="minorBidi"/>
          <w:sz w:val="24"/>
          <w:szCs w:val="24"/>
        </w:rPr>
      </w:pPr>
      <w:r w:rsidRPr="00F82CFC">
        <w:rPr>
          <w:rFonts w:ascii="Trebuchet MS" w:eastAsiaTheme="minorHAnsi" w:hAnsi="Trebuchet MS" w:cstheme="minorBidi"/>
          <w:sz w:val="24"/>
          <w:szCs w:val="24"/>
        </w:rPr>
        <w:t>Die EUTB unterscheidet sich somit klar von anderen Beratungsangeboten, insbesondere der gesetzlich verankerten Beratung durch die Träger. Sie ersetzt nicht deren Beratungsangebot oder steht mit ihr in Konkurrenz, sondern ergänzt sie um wesentliche Elemente, die ihr naturgemäß fehlen und schafft so ein besonderes Vertrauen beim Ratsuchenden, der auf diese Weise zugleich in seiner Selbst</w:t>
      </w:r>
      <w:r>
        <w:rPr>
          <w:rFonts w:ascii="Trebuchet MS" w:eastAsiaTheme="minorHAnsi" w:hAnsi="Trebuchet MS" w:cstheme="minorBidi"/>
          <w:sz w:val="24"/>
          <w:szCs w:val="24"/>
        </w:rPr>
        <w:t>-</w:t>
      </w:r>
      <w:r w:rsidRPr="00F82CFC">
        <w:rPr>
          <w:rFonts w:ascii="Trebuchet MS" w:eastAsiaTheme="minorHAnsi" w:hAnsi="Trebuchet MS" w:cstheme="minorBidi"/>
          <w:sz w:val="24"/>
          <w:szCs w:val="24"/>
        </w:rPr>
        <w:t>bestimmung gestärkt wird.</w:t>
      </w:r>
      <w:r>
        <w:rPr>
          <w:rFonts w:ascii="Trebuchet MS" w:eastAsiaTheme="minorHAnsi" w:hAnsi="Trebuchet MS" w:cstheme="minorBidi"/>
          <w:sz w:val="24"/>
          <w:szCs w:val="24"/>
        </w:rPr>
        <w:t xml:space="preserve"> </w:t>
      </w:r>
      <w:r w:rsidR="00D22919">
        <w:rPr>
          <w:rFonts w:ascii="Trebuchet MS" w:hAnsi="Trebuchet MS"/>
          <w:sz w:val="24"/>
          <w:szCs w:val="24"/>
        </w:rPr>
        <w:t xml:space="preserve">Dementsprechend ist die Teilhabeberatung in der jetzigen Form auch auf große Resonanz und </w:t>
      </w:r>
      <w:r w:rsidR="009B43A3">
        <w:rPr>
          <w:rFonts w:ascii="Trebuchet MS" w:hAnsi="Trebuchet MS"/>
          <w:sz w:val="24"/>
          <w:szCs w:val="24"/>
        </w:rPr>
        <w:t>breiten Zuspruch</w:t>
      </w:r>
      <w:r w:rsidR="00D22919">
        <w:rPr>
          <w:rFonts w:ascii="Trebuchet MS" w:hAnsi="Trebuchet MS"/>
          <w:sz w:val="24"/>
          <w:szCs w:val="24"/>
        </w:rPr>
        <w:t xml:space="preserve"> gestoßen</w:t>
      </w:r>
      <w:r>
        <w:rPr>
          <w:rFonts w:ascii="Trebuchet MS" w:hAnsi="Trebuchet MS"/>
          <w:sz w:val="24"/>
          <w:szCs w:val="24"/>
        </w:rPr>
        <w:t>, und die gerade auch</w:t>
      </w:r>
      <w:r w:rsidR="009B43A3">
        <w:rPr>
          <w:rFonts w:ascii="Trebuchet MS" w:hAnsi="Trebuchet MS"/>
          <w:sz w:val="24"/>
          <w:szCs w:val="24"/>
        </w:rPr>
        <w:t xml:space="preserve"> von Mitgliedsorganisationen der BAG SELBSTHILFE und deren Landesarbeitsgemeinschaften betriebenen EUTB-Geschäftsstellen verzeichnen einen regen Zulauf.</w:t>
      </w:r>
    </w:p>
    <w:p w:rsidR="00B47EEE" w:rsidRDefault="009B43A3" w:rsidP="002612F1">
      <w:pPr>
        <w:spacing w:after="120" w:line="360" w:lineRule="auto"/>
        <w:jc w:val="both"/>
        <w:rPr>
          <w:rFonts w:ascii="Trebuchet MS" w:hAnsi="Trebuchet MS"/>
          <w:sz w:val="24"/>
          <w:szCs w:val="24"/>
        </w:rPr>
      </w:pPr>
      <w:r>
        <w:rPr>
          <w:rFonts w:ascii="Trebuchet MS" w:hAnsi="Trebuchet MS"/>
          <w:sz w:val="24"/>
          <w:szCs w:val="24"/>
        </w:rPr>
        <w:t xml:space="preserve">Die geplante Entfristung über das Jahr </w:t>
      </w:r>
      <w:r w:rsidR="00B47EEE">
        <w:rPr>
          <w:rFonts w:ascii="Trebuchet MS" w:hAnsi="Trebuchet MS"/>
          <w:sz w:val="24"/>
          <w:szCs w:val="24"/>
        </w:rPr>
        <w:t>2022</w:t>
      </w:r>
      <w:r>
        <w:rPr>
          <w:rFonts w:ascii="Trebuchet MS" w:hAnsi="Trebuchet MS"/>
          <w:sz w:val="24"/>
          <w:szCs w:val="24"/>
        </w:rPr>
        <w:t xml:space="preserve"> hinaus ist</w:t>
      </w:r>
      <w:r w:rsidR="00B47EEE">
        <w:rPr>
          <w:rFonts w:ascii="Trebuchet MS" w:hAnsi="Trebuchet MS"/>
          <w:sz w:val="24"/>
          <w:szCs w:val="24"/>
        </w:rPr>
        <w:t xml:space="preserve"> gerade</w:t>
      </w:r>
      <w:r>
        <w:rPr>
          <w:rFonts w:ascii="Trebuchet MS" w:hAnsi="Trebuchet MS"/>
          <w:sz w:val="24"/>
          <w:szCs w:val="24"/>
        </w:rPr>
        <w:t xml:space="preserve"> auch für die </w:t>
      </w:r>
      <w:r w:rsidR="00B47EEE">
        <w:rPr>
          <w:rFonts w:ascii="Trebuchet MS" w:hAnsi="Trebuchet MS"/>
          <w:sz w:val="24"/>
          <w:szCs w:val="24"/>
        </w:rPr>
        <w:t xml:space="preserve">Betreiber von </w:t>
      </w:r>
      <w:r>
        <w:rPr>
          <w:rFonts w:ascii="Trebuchet MS" w:hAnsi="Trebuchet MS"/>
          <w:sz w:val="24"/>
          <w:szCs w:val="24"/>
        </w:rPr>
        <w:t>Beratungsstellen</w:t>
      </w:r>
      <w:r w:rsidR="00B47EEE">
        <w:rPr>
          <w:rFonts w:ascii="Trebuchet MS" w:hAnsi="Trebuchet MS"/>
          <w:sz w:val="24"/>
          <w:szCs w:val="24"/>
        </w:rPr>
        <w:t xml:space="preserve"> </w:t>
      </w:r>
      <w:r>
        <w:rPr>
          <w:rFonts w:ascii="Trebuchet MS" w:hAnsi="Trebuchet MS"/>
          <w:sz w:val="24"/>
          <w:szCs w:val="24"/>
        </w:rPr>
        <w:t>wichtig, um hinreichende Planungssicherheit bezüglich der weiteren Stellenbesetzungen, Anmietung von Geschäftsräumen etc. zu haben.</w:t>
      </w:r>
    </w:p>
    <w:p w:rsidR="00B23BEB" w:rsidRDefault="00B47EEE" w:rsidP="002612F1">
      <w:pPr>
        <w:spacing w:after="120" w:line="360" w:lineRule="auto"/>
        <w:jc w:val="both"/>
        <w:rPr>
          <w:rFonts w:ascii="Trebuchet MS" w:hAnsi="Trebuchet MS"/>
          <w:sz w:val="24"/>
          <w:szCs w:val="24"/>
        </w:rPr>
      </w:pPr>
      <w:r>
        <w:rPr>
          <w:rFonts w:ascii="Trebuchet MS" w:hAnsi="Trebuchet MS"/>
          <w:sz w:val="24"/>
          <w:szCs w:val="24"/>
        </w:rPr>
        <w:t xml:space="preserve">Soweit die Bundesmittel für die Zuschüsse für das Jahr 2023 auf 65 Millionen Euro festgesetzt werden, ist </w:t>
      </w:r>
      <w:r w:rsidR="00B23BEB">
        <w:rPr>
          <w:rFonts w:ascii="Trebuchet MS" w:hAnsi="Trebuchet MS"/>
          <w:sz w:val="24"/>
          <w:szCs w:val="24"/>
        </w:rPr>
        <w:t xml:space="preserve">darauf zu achten, dass dieser Betrag nicht dauerhaft (also über das Jahr 2023 hinaus) als alleinige Finanzierungsgrundlage </w:t>
      </w:r>
      <w:r w:rsidR="000614C8">
        <w:rPr>
          <w:rFonts w:ascii="Trebuchet MS" w:hAnsi="Trebuchet MS"/>
          <w:sz w:val="24"/>
          <w:szCs w:val="24"/>
        </w:rPr>
        <w:t>dient</w:t>
      </w:r>
      <w:r w:rsidR="00B23BEB">
        <w:rPr>
          <w:rFonts w:ascii="Trebuchet MS" w:hAnsi="Trebuchet MS"/>
          <w:sz w:val="24"/>
          <w:szCs w:val="24"/>
        </w:rPr>
        <w:t>, gerade vor dem Hintergrund steigender Kosten (tarifvertragliche Lohn- und Gehalts</w:t>
      </w:r>
      <w:r w:rsidR="000614C8">
        <w:rPr>
          <w:rFonts w:ascii="Trebuchet MS" w:hAnsi="Trebuchet MS"/>
          <w:sz w:val="24"/>
          <w:szCs w:val="24"/>
        </w:rPr>
        <w:t>-</w:t>
      </w:r>
      <w:r w:rsidR="00B23BEB">
        <w:rPr>
          <w:rFonts w:ascii="Trebuchet MS" w:hAnsi="Trebuchet MS"/>
          <w:sz w:val="24"/>
          <w:szCs w:val="24"/>
        </w:rPr>
        <w:t xml:space="preserve">steigerungen, Mieterhöhungen etc.). </w:t>
      </w:r>
      <w:r w:rsidR="00655238">
        <w:rPr>
          <w:rFonts w:ascii="Trebuchet MS" w:hAnsi="Trebuchet MS"/>
          <w:sz w:val="24"/>
          <w:szCs w:val="24"/>
        </w:rPr>
        <w:t xml:space="preserve">Insbesondere ist auch zu bedenken, dass die Zahl der Ratsuchenden aufgrund der ab dem 01.01.2020 in Kraft tretenden </w:t>
      </w:r>
      <w:r w:rsidR="00655238">
        <w:rPr>
          <w:rFonts w:ascii="Trebuchet MS" w:hAnsi="Trebuchet MS"/>
          <w:sz w:val="24"/>
          <w:szCs w:val="24"/>
        </w:rPr>
        <w:lastRenderedPageBreak/>
        <w:t xml:space="preserve">reformierten Eingliederungshilfe </w:t>
      </w:r>
      <w:r w:rsidR="000614C8">
        <w:rPr>
          <w:rFonts w:ascii="Trebuchet MS" w:hAnsi="Trebuchet MS"/>
          <w:sz w:val="24"/>
          <w:szCs w:val="24"/>
        </w:rPr>
        <w:t xml:space="preserve">aller Voraussicht nach </w:t>
      </w:r>
      <w:r w:rsidR="00655238">
        <w:rPr>
          <w:rFonts w:ascii="Trebuchet MS" w:hAnsi="Trebuchet MS"/>
          <w:sz w:val="24"/>
          <w:szCs w:val="24"/>
        </w:rPr>
        <w:t xml:space="preserve">stark steigen wird, was </w:t>
      </w:r>
      <w:r w:rsidR="000614C8">
        <w:rPr>
          <w:rFonts w:ascii="Trebuchet MS" w:hAnsi="Trebuchet MS"/>
          <w:sz w:val="24"/>
          <w:szCs w:val="24"/>
        </w:rPr>
        <w:t xml:space="preserve">wiederum </w:t>
      </w:r>
      <w:r w:rsidR="00655238">
        <w:rPr>
          <w:rFonts w:ascii="Trebuchet MS" w:hAnsi="Trebuchet MS"/>
          <w:sz w:val="24"/>
          <w:szCs w:val="24"/>
        </w:rPr>
        <w:t>einen erhöhten Personalbedarf hervorruft.</w:t>
      </w:r>
    </w:p>
    <w:p w:rsidR="0027336E" w:rsidRDefault="00B23BEB" w:rsidP="002612F1">
      <w:pPr>
        <w:spacing w:after="120" w:line="360" w:lineRule="auto"/>
        <w:jc w:val="both"/>
        <w:rPr>
          <w:rFonts w:ascii="Trebuchet MS" w:hAnsi="Trebuchet MS"/>
          <w:sz w:val="24"/>
          <w:szCs w:val="24"/>
        </w:rPr>
      </w:pPr>
      <w:r>
        <w:rPr>
          <w:rFonts w:ascii="Trebuchet MS" w:hAnsi="Trebuchet MS"/>
          <w:sz w:val="24"/>
          <w:szCs w:val="24"/>
        </w:rPr>
        <w:t>Bereits an dieser Stelle sei darauf hingewiesen, dass die nach dem neuen Absatz 7 vorgesehene Rechts</w:t>
      </w:r>
      <w:r w:rsidR="00655238">
        <w:rPr>
          <w:rFonts w:ascii="Trebuchet MS" w:hAnsi="Trebuchet MS"/>
          <w:sz w:val="24"/>
          <w:szCs w:val="24"/>
        </w:rPr>
        <w:t xml:space="preserve">verordnung dazu genutzt werden sollte, derzeitige </w:t>
      </w:r>
      <w:r>
        <w:rPr>
          <w:rFonts w:ascii="Trebuchet MS" w:hAnsi="Trebuchet MS"/>
          <w:sz w:val="24"/>
          <w:szCs w:val="24"/>
        </w:rPr>
        <w:t>Schwierigkeiten und Hindernisse bei der Umsetzung der EUTB durch die Beratungsstellen</w:t>
      </w:r>
      <w:r w:rsidR="0027336E">
        <w:rPr>
          <w:rFonts w:ascii="Trebuchet MS" w:hAnsi="Trebuchet MS"/>
          <w:sz w:val="24"/>
          <w:szCs w:val="24"/>
        </w:rPr>
        <w:t xml:space="preserve"> auszuräumen</w:t>
      </w:r>
      <w:r>
        <w:rPr>
          <w:rFonts w:ascii="Trebuchet MS" w:hAnsi="Trebuchet MS"/>
          <w:sz w:val="24"/>
          <w:szCs w:val="24"/>
        </w:rPr>
        <w:t>, insbe</w:t>
      </w:r>
      <w:r w:rsidR="0027336E">
        <w:rPr>
          <w:rFonts w:ascii="Trebuchet MS" w:hAnsi="Trebuchet MS"/>
          <w:sz w:val="24"/>
          <w:szCs w:val="24"/>
        </w:rPr>
        <w:t>sondere das Fördera</w:t>
      </w:r>
      <w:r>
        <w:rPr>
          <w:rFonts w:ascii="Trebuchet MS" w:hAnsi="Trebuchet MS"/>
          <w:sz w:val="24"/>
          <w:szCs w:val="24"/>
        </w:rPr>
        <w:t xml:space="preserve">ntragsverfahren </w:t>
      </w:r>
      <w:r w:rsidR="0027336E">
        <w:rPr>
          <w:rFonts w:ascii="Trebuchet MS" w:hAnsi="Trebuchet MS"/>
          <w:sz w:val="24"/>
          <w:szCs w:val="24"/>
        </w:rPr>
        <w:t xml:space="preserve">zu reformieren und zu vereinfachen. So muss es u.a. auch kleineren Organisationen mit geringen finanziellen und personellen Ressourcen möglich sein, Beratungsstellen zu betreiben. Gleichzeitig ist ihnen eine weitgehende Unabhängigkeit und Eigenständigkeit einzuräumen, damit sie sich den individuellen Rahmenbedingungen (Größe der Beratungsstelle, Finanzkraft, Personal und Organisation, örtliche Lage und Erreichbarkeit, Ratsuchende) bestmöglich anpassen </w:t>
      </w:r>
      <w:r w:rsidR="00A51B1D">
        <w:rPr>
          <w:rFonts w:ascii="Trebuchet MS" w:hAnsi="Trebuchet MS"/>
          <w:sz w:val="24"/>
          <w:szCs w:val="24"/>
        </w:rPr>
        <w:t>und da</w:t>
      </w:r>
      <w:r w:rsidR="0027336E">
        <w:rPr>
          <w:rFonts w:ascii="Trebuchet MS" w:hAnsi="Trebuchet MS"/>
          <w:sz w:val="24"/>
          <w:szCs w:val="24"/>
        </w:rPr>
        <w:t xml:space="preserve">mit verlässlich eine bedarfsorientierte und auf den Einzelfall zugeschnittene Beratung anbieten können. </w:t>
      </w:r>
    </w:p>
    <w:p w:rsidR="00655238" w:rsidRDefault="00655238" w:rsidP="002612F1">
      <w:pPr>
        <w:spacing w:after="120" w:line="360" w:lineRule="auto"/>
        <w:jc w:val="both"/>
        <w:rPr>
          <w:rFonts w:ascii="Trebuchet MS" w:hAnsi="Trebuchet MS"/>
          <w:b/>
          <w:sz w:val="24"/>
          <w:szCs w:val="24"/>
        </w:rPr>
      </w:pPr>
    </w:p>
    <w:p w:rsidR="0027336E" w:rsidRPr="0027336E" w:rsidRDefault="0027336E" w:rsidP="002612F1">
      <w:pPr>
        <w:spacing w:after="120" w:line="360" w:lineRule="auto"/>
        <w:jc w:val="both"/>
        <w:rPr>
          <w:rFonts w:ascii="Trebuchet MS" w:hAnsi="Trebuchet MS"/>
          <w:b/>
          <w:sz w:val="24"/>
          <w:szCs w:val="24"/>
        </w:rPr>
      </w:pPr>
      <w:r w:rsidRPr="0027336E">
        <w:rPr>
          <w:rFonts w:ascii="Trebuchet MS" w:hAnsi="Trebuchet MS"/>
          <w:b/>
          <w:sz w:val="24"/>
          <w:szCs w:val="24"/>
        </w:rPr>
        <w:t>5. Budget für Ausbildung</w:t>
      </w:r>
    </w:p>
    <w:p w:rsidR="007A1194" w:rsidRPr="0027336E" w:rsidRDefault="006A3634" w:rsidP="006A3634">
      <w:pPr>
        <w:spacing w:after="120" w:line="360" w:lineRule="auto"/>
        <w:jc w:val="both"/>
        <w:rPr>
          <w:rFonts w:ascii="Trebuchet MS" w:hAnsi="Trebuchet MS"/>
          <w:sz w:val="24"/>
          <w:szCs w:val="24"/>
        </w:rPr>
      </w:pPr>
      <w:r>
        <w:rPr>
          <w:rFonts w:ascii="Trebuchet MS" w:hAnsi="Trebuchet MS"/>
          <w:sz w:val="24"/>
          <w:szCs w:val="24"/>
        </w:rPr>
        <w:t xml:space="preserve">Seit </w:t>
      </w:r>
      <w:r w:rsidR="007A1194" w:rsidRPr="0027336E">
        <w:rPr>
          <w:rFonts w:ascii="Trebuchet MS" w:hAnsi="Trebuchet MS"/>
          <w:sz w:val="24"/>
          <w:szCs w:val="24"/>
        </w:rPr>
        <w:t>Einführung des sog. Budgets für Arbeit durch das Bundesteilhabegesetz (§ 61 SGB IX-neu)</w:t>
      </w:r>
      <w:r>
        <w:rPr>
          <w:rFonts w:ascii="Trebuchet MS" w:hAnsi="Trebuchet MS"/>
          <w:sz w:val="24"/>
          <w:szCs w:val="24"/>
        </w:rPr>
        <w:t xml:space="preserve"> vor etwa eineinhalb Jahren sind die damit verbundenen Ziele bereits </w:t>
      </w:r>
      <w:r w:rsidR="000614C8">
        <w:rPr>
          <w:rFonts w:ascii="Trebuchet MS" w:hAnsi="Trebuchet MS"/>
          <w:sz w:val="24"/>
          <w:szCs w:val="24"/>
        </w:rPr>
        <w:t xml:space="preserve">in </w:t>
      </w:r>
      <w:r w:rsidR="00FA715B">
        <w:rPr>
          <w:rFonts w:ascii="Trebuchet MS" w:hAnsi="Trebuchet MS"/>
          <w:sz w:val="24"/>
          <w:szCs w:val="24"/>
        </w:rPr>
        <w:t>vielen Fällen</w:t>
      </w:r>
      <w:r>
        <w:rPr>
          <w:rFonts w:ascii="Trebuchet MS" w:hAnsi="Trebuchet MS"/>
          <w:sz w:val="24"/>
          <w:szCs w:val="24"/>
        </w:rPr>
        <w:t xml:space="preserve"> erreicht worden: für den Arbeitgeber ist</w:t>
      </w:r>
      <w:r w:rsidR="00FA715B">
        <w:rPr>
          <w:rFonts w:ascii="Trebuchet MS" w:hAnsi="Trebuchet MS"/>
          <w:sz w:val="24"/>
          <w:szCs w:val="24"/>
        </w:rPr>
        <w:t xml:space="preserve"> es einfacher, einen Lohnkosten</w:t>
      </w:r>
      <w:r>
        <w:rPr>
          <w:rFonts w:ascii="Trebuchet MS" w:hAnsi="Trebuchet MS"/>
          <w:sz w:val="24"/>
          <w:szCs w:val="24"/>
        </w:rPr>
        <w:t>zuschuss zu erhalten, während der</w:t>
      </w:r>
      <w:r w:rsidR="007A1194" w:rsidRPr="0027336E">
        <w:rPr>
          <w:rFonts w:ascii="Trebuchet MS" w:hAnsi="Trebuchet MS"/>
          <w:sz w:val="24"/>
          <w:szCs w:val="24"/>
        </w:rPr>
        <w:t xml:space="preserve"> Betroffene selbständig entscheiden</w:t>
      </w:r>
      <w:r>
        <w:rPr>
          <w:rFonts w:ascii="Trebuchet MS" w:hAnsi="Trebuchet MS"/>
          <w:sz w:val="24"/>
          <w:szCs w:val="24"/>
        </w:rPr>
        <w:t xml:space="preserve"> kann</w:t>
      </w:r>
      <w:r w:rsidR="007A1194" w:rsidRPr="0027336E">
        <w:rPr>
          <w:rFonts w:ascii="Trebuchet MS" w:hAnsi="Trebuchet MS"/>
          <w:sz w:val="24"/>
          <w:szCs w:val="24"/>
        </w:rPr>
        <w:t>, welche Unterstützungsleistungen am Arbeitsplatz er konkret „einkaufen“</w:t>
      </w:r>
      <w:r w:rsidR="00316372">
        <w:rPr>
          <w:rFonts w:ascii="Trebuchet MS" w:hAnsi="Trebuchet MS"/>
          <w:sz w:val="24"/>
          <w:szCs w:val="24"/>
        </w:rPr>
        <w:t xml:space="preserve"> will, was ihm wiederum </w:t>
      </w:r>
      <w:r w:rsidR="007A1194" w:rsidRPr="0027336E">
        <w:rPr>
          <w:rFonts w:ascii="Trebuchet MS" w:hAnsi="Trebuchet MS"/>
          <w:sz w:val="24"/>
          <w:szCs w:val="24"/>
        </w:rPr>
        <w:t xml:space="preserve">mehr Flexibilität </w:t>
      </w:r>
      <w:r w:rsidR="00316372">
        <w:rPr>
          <w:rFonts w:ascii="Trebuchet MS" w:hAnsi="Trebuchet MS"/>
          <w:sz w:val="24"/>
          <w:szCs w:val="24"/>
        </w:rPr>
        <w:t xml:space="preserve">verschafft </w:t>
      </w:r>
      <w:r w:rsidR="007A1194" w:rsidRPr="0027336E">
        <w:rPr>
          <w:rFonts w:ascii="Trebuchet MS" w:hAnsi="Trebuchet MS"/>
          <w:sz w:val="24"/>
          <w:szCs w:val="24"/>
        </w:rPr>
        <w:t xml:space="preserve">und </w:t>
      </w:r>
      <w:r w:rsidR="00316372">
        <w:rPr>
          <w:rFonts w:ascii="Trebuchet MS" w:hAnsi="Trebuchet MS"/>
          <w:sz w:val="24"/>
          <w:szCs w:val="24"/>
        </w:rPr>
        <w:t>ihn in</w:t>
      </w:r>
      <w:r w:rsidR="007A1194" w:rsidRPr="0027336E">
        <w:rPr>
          <w:rFonts w:ascii="Trebuchet MS" w:hAnsi="Trebuchet MS"/>
          <w:sz w:val="24"/>
          <w:szCs w:val="24"/>
        </w:rPr>
        <w:t xml:space="preserve"> sein</w:t>
      </w:r>
      <w:r w:rsidR="00316372">
        <w:rPr>
          <w:rFonts w:ascii="Trebuchet MS" w:hAnsi="Trebuchet MS"/>
          <w:sz w:val="24"/>
          <w:szCs w:val="24"/>
        </w:rPr>
        <w:t>em</w:t>
      </w:r>
      <w:r w:rsidR="007A1194" w:rsidRPr="0027336E">
        <w:rPr>
          <w:rFonts w:ascii="Trebuchet MS" w:hAnsi="Trebuchet MS"/>
          <w:sz w:val="24"/>
          <w:szCs w:val="24"/>
        </w:rPr>
        <w:t xml:space="preserve"> Recht auf Selbstbestimmung </w:t>
      </w:r>
      <w:r w:rsidR="00316372">
        <w:rPr>
          <w:rFonts w:ascii="Trebuchet MS" w:hAnsi="Trebuchet MS"/>
          <w:sz w:val="24"/>
          <w:szCs w:val="24"/>
        </w:rPr>
        <w:t>stärkt</w:t>
      </w:r>
      <w:r w:rsidR="007A1194" w:rsidRPr="0027336E">
        <w:rPr>
          <w:rFonts w:ascii="Trebuchet MS" w:hAnsi="Trebuchet MS"/>
          <w:sz w:val="24"/>
          <w:szCs w:val="24"/>
        </w:rPr>
        <w:t xml:space="preserve">. </w:t>
      </w:r>
    </w:p>
    <w:p w:rsidR="00A740B5" w:rsidRDefault="00316372" w:rsidP="007A1194">
      <w:pPr>
        <w:spacing w:after="120" w:line="360" w:lineRule="auto"/>
        <w:jc w:val="both"/>
        <w:rPr>
          <w:rFonts w:ascii="Trebuchet MS" w:hAnsi="Trebuchet MS"/>
          <w:sz w:val="24"/>
          <w:szCs w:val="24"/>
        </w:rPr>
      </w:pPr>
      <w:r>
        <w:rPr>
          <w:rFonts w:ascii="Trebuchet MS" w:hAnsi="Trebuchet MS"/>
          <w:sz w:val="24"/>
          <w:szCs w:val="24"/>
        </w:rPr>
        <w:t>Die</w:t>
      </w:r>
      <w:r w:rsidR="007A1194" w:rsidRPr="0027336E">
        <w:rPr>
          <w:rFonts w:ascii="Trebuchet MS" w:hAnsi="Trebuchet MS"/>
          <w:sz w:val="24"/>
          <w:szCs w:val="24"/>
        </w:rPr>
        <w:t xml:space="preserve"> BAG SELBSTHILFE befürwortet</w:t>
      </w:r>
      <w:r>
        <w:rPr>
          <w:rFonts w:ascii="Trebuchet MS" w:hAnsi="Trebuchet MS"/>
          <w:sz w:val="24"/>
          <w:szCs w:val="24"/>
        </w:rPr>
        <w:t>, dass eine entsprechende Leistungsform nunmehr auch im Ausbildungsbereich durch Schaffung eines</w:t>
      </w:r>
      <w:r w:rsidR="007A1194" w:rsidRPr="0027336E">
        <w:rPr>
          <w:rFonts w:ascii="Trebuchet MS" w:hAnsi="Trebuchet MS"/>
          <w:sz w:val="24"/>
          <w:szCs w:val="24"/>
        </w:rPr>
        <w:t xml:space="preserve"> </w:t>
      </w:r>
      <w:r>
        <w:rPr>
          <w:rFonts w:ascii="Trebuchet MS" w:hAnsi="Trebuchet MS"/>
          <w:sz w:val="24"/>
          <w:szCs w:val="24"/>
        </w:rPr>
        <w:t>„</w:t>
      </w:r>
      <w:r w:rsidR="007A1194" w:rsidRPr="0027336E">
        <w:rPr>
          <w:rFonts w:ascii="Trebuchet MS" w:hAnsi="Trebuchet MS"/>
          <w:sz w:val="24"/>
          <w:szCs w:val="24"/>
        </w:rPr>
        <w:t>Budget</w:t>
      </w:r>
      <w:r>
        <w:rPr>
          <w:rFonts w:ascii="Trebuchet MS" w:hAnsi="Trebuchet MS"/>
          <w:sz w:val="24"/>
          <w:szCs w:val="24"/>
        </w:rPr>
        <w:t>s</w:t>
      </w:r>
      <w:r w:rsidR="007A1194" w:rsidRPr="0027336E">
        <w:rPr>
          <w:rFonts w:ascii="Trebuchet MS" w:hAnsi="Trebuchet MS"/>
          <w:sz w:val="24"/>
          <w:szCs w:val="24"/>
        </w:rPr>
        <w:t xml:space="preserve"> für Ausbildung</w:t>
      </w:r>
      <w:r>
        <w:rPr>
          <w:rFonts w:ascii="Trebuchet MS" w:hAnsi="Trebuchet MS"/>
          <w:sz w:val="24"/>
          <w:szCs w:val="24"/>
        </w:rPr>
        <w:t>“</w:t>
      </w:r>
      <w:r w:rsidR="007A1194" w:rsidRPr="0027336E">
        <w:rPr>
          <w:rFonts w:ascii="Trebuchet MS" w:hAnsi="Trebuchet MS"/>
          <w:sz w:val="24"/>
          <w:szCs w:val="24"/>
        </w:rPr>
        <w:t xml:space="preserve"> </w:t>
      </w:r>
      <w:r>
        <w:rPr>
          <w:rFonts w:ascii="Trebuchet MS" w:hAnsi="Trebuchet MS"/>
          <w:sz w:val="24"/>
          <w:szCs w:val="24"/>
        </w:rPr>
        <w:t>entstehen soll. Auch hier kann vermutet werden</w:t>
      </w:r>
      <w:r w:rsidR="007A1194" w:rsidRPr="0027336E">
        <w:rPr>
          <w:rFonts w:ascii="Trebuchet MS" w:hAnsi="Trebuchet MS"/>
          <w:sz w:val="24"/>
          <w:szCs w:val="24"/>
        </w:rPr>
        <w:t xml:space="preserve">, dass die damit verbundenen Vorteile die Chancen </w:t>
      </w:r>
      <w:r>
        <w:rPr>
          <w:rFonts w:ascii="Trebuchet MS" w:hAnsi="Trebuchet MS"/>
          <w:sz w:val="24"/>
          <w:szCs w:val="24"/>
        </w:rPr>
        <w:t>auf eine spätere</w:t>
      </w:r>
      <w:r w:rsidR="007A1194" w:rsidRPr="0027336E">
        <w:rPr>
          <w:rFonts w:ascii="Trebuchet MS" w:hAnsi="Trebuchet MS"/>
          <w:sz w:val="24"/>
          <w:szCs w:val="24"/>
        </w:rPr>
        <w:t xml:space="preserve"> Beschäftigung auf dem allgemeinen Arbeitsmarkt </w:t>
      </w:r>
      <w:r>
        <w:rPr>
          <w:rFonts w:ascii="Trebuchet MS" w:hAnsi="Trebuchet MS"/>
          <w:sz w:val="24"/>
          <w:szCs w:val="24"/>
        </w:rPr>
        <w:t>erhöhen, nicht zuletzt durch die Tatsache, dass anstelle einer beruflichen Bildung im Werkstattbereich (oder bei einem anderen Leistungsanbieter) künftig auch eine berufliche Ausbildung auf dem allgemeinen Arbeitsmarkt möglich wird</w:t>
      </w:r>
      <w:r w:rsidR="007A1194" w:rsidRPr="0027336E">
        <w:rPr>
          <w:rFonts w:ascii="Trebuchet MS" w:hAnsi="Trebuchet MS"/>
          <w:sz w:val="24"/>
          <w:szCs w:val="24"/>
        </w:rPr>
        <w:t xml:space="preserve">. </w:t>
      </w:r>
      <w:r w:rsidR="00A740B5">
        <w:rPr>
          <w:rFonts w:ascii="Trebuchet MS" w:hAnsi="Trebuchet MS"/>
          <w:sz w:val="24"/>
          <w:szCs w:val="24"/>
        </w:rPr>
        <w:t xml:space="preserve">Selbst wenn sich der erhoffte Erfolg nicht oder nicht im </w:t>
      </w:r>
      <w:r w:rsidR="00A740B5">
        <w:rPr>
          <w:rFonts w:ascii="Trebuchet MS" w:hAnsi="Trebuchet MS"/>
          <w:sz w:val="24"/>
          <w:szCs w:val="24"/>
        </w:rPr>
        <w:lastRenderedPageBreak/>
        <w:t xml:space="preserve">erwarteten Maße einstellt, kann das Budget für Ausbildung durchaus als Alternative zu den bekannten Ausbildungsformen in einer Werkstatt für behinderte Menschen bestehen bleiben. Wichtig ist aber dennoch eine rechtzeitige Evaluierung, um festzustellen, ob weitere Anpassungen erforderlich werden, etwa </w:t>
      </w:r>
      <w:r w:rsidR="007A1194" w:rsidRPr="0027336E">
        <w:rPr>
          <w:rFonts w:ascii="Trebuchet MS" w:hAnsi="Trebuchet MS"/>
          <w:sz w:val="24"/>
          <w:szCs w:val="24"/>
        </w:rPr>
        <w:t>im Hinblick auf den leistungsberechtigten Personenkreis oder im Hinblick auf eine</w:t>
      </w:r>
      <w:r w:rsidR="00A740B5">
        <w:rPr>
          <w:rFonts w:ascii="Trebuchet MS" w:hAnsi="Trebuchet MS"/>
          <w:sz w:val="24"/>
          <w:szCs w:val="24"/>
        </w:rPr>
        <w:t xml:space="preserve"> möglicherweise erforderliche</w:t>
      </w:r>
      <w:r w:rsidR="007A1194" w:rsidRPr="0027336E">
        <w:rPr>
          <w:rFonts w:ascii="Trebuchet MS" w:hAnsi="Trebuchet MS"/>
          <w:sz w:val="24"/>
          <w:szCs w:val="24"/>
        </w:rPr>
        <w:t xml:space="preserve"> engere Verzahnung mit dem Bereich der schulischen Bildung</w:t>
      </w:r>
      <w:r w:rsidR="00A740B5">
        <w:rPr>
          <w:rFonts w:ascii="Trebuchet MS" w:hAnsi="Trebuchet MS"/>
          <w:sz w:val="24"/>
          <w:szCs w:val="24"/>
        </w:rPr>
        <w:t>.</w:t>
      </w:r>
    </w:p>
    <w:p w:rsidR="00CD3D1B" w:rsidRDefault="00CD3D1B" w:rsidP="002612F1">
      <w:pPr>
        <w:spacing w:after="120" w:line="360" w:lineRule="auto"/>
        <w:jc w:val="both"/>
        <w:rPr>
          <w:rFonts w:ascii="Trebuchet MS" w:hAnsi="Trebuchet MS"/>
          <w:sz w:val="24"/>
          <w:szCs w:val="24"/>
        </w:rPr>
      </w:pPr>
    </w:p>
    <w:p w:rsidR="00CD3D1B" w:rsidRDefault="002F4BFC" w:rsidP="002612F1">
      <w:pPr>
        <w:spacing w:after="120" w:line="360" w:lineRule="auto"/>
        <w:jc w:val="both"/>
        <w:rPr>
          <w:rFonts w:ascii="Trebuchet MS" w:hAnsi="Trebuchet MS"/>
          <w:b/>
          <w:sz w:val="24"/>
          <w:szCs w:val="24"/>
        </w:rPr>
      </w:pPr>
      <w:r>
        <w:rPr>
          <w:rFonts w:ascii="Trebuchet MS" w:hAnsi="Trebuchet MS"/>
          <w:b/>
          <w:sz w:val="24"/>
          <w:szCs w:val="24"/>
        </w:rPr>
        <w:t>6</w:t>
      </w:r>
      <w:bookmarkStart w:id="0" w:name="_GoBack"/>
      <w:bookmarkEnd w:id="0"/>
      <w:r w:rsidR="00CD3D1B">
        <w:rPr>
          <w:rFonts w:ascii="Trebuchet MS" w:hAnsi="Trebuchet MS"/>
          <w:b/>
          <w:sz w:val="24"/>
          <w:szCs w:val="24"/>
        </w:rPr>
        <w:t xml:space="preserve">. </w:t>
      </w:r>
      <w:r w:rsidR="006357F3">
        <w:rPr>
          <w:rFonts w:ascii="Trebuchet MS" w:hAnsi="Trebuchet MS"/>
          <w:b/>
          <w:sz w:val="24"/>
          <w:szCs w:val="24"/>
        </w:rPr>
        <w:t>Kostenübernahme für Arbeitsassistenz</w:t>
      </w:r>
    </w:p>
    <w:p w:rsidR="00FA715B" w:rsidRDefault="006357F3" w:rsidP="002612F1">
      <w:pPr>
        <w:spacing w:after="120" w:line="360" w:lineRule="auto"/>
        <w:jc w:val="both"/>
        <w:rPr>
          <w:rFonts w:ascii="Trebuchet MS" w:hAnsi="Trebuchet MS"/>
          <w:sz w:val="24"/>
          <w:szCs w:val="24"/>
        </w:rPr>
      </w:pPr>
      <w:r>
        <w:rPr>
          <w:rFonts w:ascii="Trebuchet MS" w:hAnsi="Trebuchet MS"/>
          <w:sz w:val="24"/>
          <w:szCs w:val="24"/>
        </w:rPr>
        <w:t xml:space="preserve">Die in § 185 SGB IX vorgesehene Ergänzung bei Absatz 5 wird gleichfalls begrüßt, da sie hilft, langwierige </w:t>
      </w:r>
      <w:r w:rsidR="00FA715B">
        <w:rPr>
          <w:rFonts w:ascii="Trebuchet MS" w:hAnsi="Trebuchet MS"/>
          <w:sz w:val="24"/>
          <w:szCs w:val="24"/>
        </w:rPr>
        <w:t>Verfahren und Diskussionen</w:t>
      </w:r>
      <w:r w:rsidR="006A3634">
        <w:rPr>
          <w:rFonts w:ascii="Trebuchet MS" w:hAnsi="Trebuchet MS"/>
          <w:sz w:val="24"/>
          <w:szCs w:val="24"/>
        </w:rPr>
        <w:t xml:space="preserve"> zu vermeiden. Vor allem ist eine klarstellende Regelung deshalb wichtig, weil eine Arbeitsassistenz von Beginn</w:t>
      </w:r>
      <w:r w:rsidR="00FA715B">
        <w:rPr>
          <w:rFonts w:ascii="Trebuchet MS" w:hAnsi="Trebuchet MS"/>
          <w:sz w:val="24"/>
          <w:szCs w:val="24"/>
        </w:rPr>
        <w:t xml:space="preserve"> des Beschäftigungsverhältnisses </w:t>
      </w:r>
      <w:r w:rsidR="006A3634">
        <w:rPr>
          <w:rFonts w:ascii="Trebuchet MS" w:hAnsi="Trebuchet MS"/>
          <w:sz w:val="24"/>
          <w:szCs w:val="24"/>
        </w:rPr>
        <w:t xml:space="preserve">an zur Verfügung stehen muss. Ist das erst zu einem späteren Zeitpunkt der Fall, kann dies leicht dazu führen, dass Arbeitgeber </w:t>
      </w:r>
      <w:r w:rsidR="00FA715B">
        <w:rPr>
          <w:rFonts w:ascii="Trebuchet MS" w:hAnsi="Trebuchet MS"/>
          <w:sz w:val="24"/>
          <w:szCs w:val="24"/>
        </w:rPr>
        <w:t>das Arbeitsverhältnis</w:t>
      </w:r>
      <w:r w:rsidR="001C2C00">
        <w:rPr>
          <w:rFonts w:ascii="Trebuchet MS" w:hAnsi="Trebuchet MS"/>
          <w:sz w:val="24"/>
          <w:szCs w:val="24"/>
        </w:rPr>
        <w:t xml:space="preserve"> wegen der anfänglichen Minderleistung des Arbeitnehmers</w:t>
      </w:r>
      <w:r w:rsidR="00FA715B">
        <w:rPr>
          <w:rFonts w:ascii="Trebuchet MS" w:hAnsi="Trebuchet MS"/>
          <w:sz w:val="24"/>
          <w:szCs w:val="24"/>
        </w:rPr>
        <w:t xml:space="preserve"> </w:t>
      </w:r>
      <w:r w:rsidR="001C2C00">
        <w:rPr>
          <w:rFonts w:ascii="Trebuchet MS" w:hAnsi="Trebuchet MS"/>
          <w:sz w:val="24"/>
          <w:szCs w:val="24"/>
        </w:rPr>
        <w:t xml:space="preserve">vorzeitig wieder beendet – und zwar bevor die Arbeitsassistenz ihre Tätigkeit aufgenommen hat. </w:t>
      </w:r>
    </w:p>
    <w:p w:rsidR="006A3634" w:rsidRPr="006357F3" w:rsidRDefault="006A3634" w:rsidP="002612F1">
      <w:pPr>
        <w:spacing w:after="120" w:line="360" w:lineRule="auto"/>
        <w:jc w:val="both"/>
        <w:rPr>
          <w:rFonts w:ascii="Trebuchet MS" w:hAnsi="Trebuchet MS"/>
          <w:sz w:val="24"/>
          <w:szCs w:val="24"/>
        </w:rPr>
      </w:pPr>
      <w:r>
        <w:rPr>
          <w:rFonts w:ascii="Trebuchet MS" w:hAnsi="Trebuchet MS"/>
          <w:sz w:val="24"/>
          <w:szCs w:val="24"/>
        </w:rPr>
        <w:t xml:space="preserve">Trotz der </w:t>
      </w:r>
      <w:r w:rsidR="001C2C00">
        <w:rPr>
          <w:rFonts w:ascii="Trebuchet MS" w:hAnsi="Trebuchet MS"/>
          <w:sz w:val="24"/>
          <w:szCs w:val="24"/>
        </w:rPr>
        <w:t>zu begrüßenden</w:t>
      </w:r>
      <w:r>
        <w:rPr>
          <w:rFonts w:ascii="Trebuchet MS" w:hAnsi="Trebuchet MS"/>
          <w:sz w:val="24"/>
          <w:szCs w:val="24"/>
        </w:rPr>
        <w:t xml:space="preserve"> </w:t>
      </w:r>
      <w:r w:rsidR="001C2C00">
        <w:rPr>
          <w:rFonts w:ascii="Trebuchet MS" w:hAnsi="Trebuchet MS"/>
          <w:sz w:val="24"/>
          <w:szCs w:val="24"/>
        </w:rPr>
        <w:t>Bindungswirkung an die Feststellung der Notwendigkeit einer Arbeitsassistenz</w:t>
      </w:r>
      <w:r>
        <w:rPr>
          <w:rFonts w:ascii="Trebuchet MS" w:hAnsi="Trebuchet MS"/>
          <w:sz w:val="24"/>
          <w:szCs w:val="24"/>
        </w:rPr>
        <w:t xml:space="preserve">, besteht die Gefahr, dass sich die Problematik der entsprechenden Bedarfsfeststellung </w:t>
      </w:r>
      <w:r w:rsidR="00A51B1D">
        <w:rPr>
          <w:rFonts w:ascii="Trebuchet MS" w:hAnsi="Trebuchet MS"/>
          <w:sz w:val="24"/>
          <w:szCs w:val="24"/>
        </w:rPr>
        <w:t xml:space="preserve">vorverlagert, und zwar </w:t>
      </w:r>
      <w:r>
        <w:rPr>
          <w:rFonts w:ascii="Trebuchet MS" w:hAnsi="Trebuchet MS"/>
          <w:sz w:val="24"/>
          <w:szCs w:val="24"/>
        </w:rPr>
        <w:t>auf d</w:t>
      </w:r>
      <w:r w:rsidR="001C2C00">
        <w:rPr>
          <w:rFonts w:ascii="Trebuchet MS" w:hAnsi="Trebuchet MS"/>
          <w:sz w:val="24"/>
          <w:szCs w:val="24"/>
        </w:rPr>
        <w:t xml:space="preserve">en Zeitpunkt </w:t>
      </w:r>
      <w:r>
        <w:rPr>
          <w:rFonts w:ascii="Trebuchet MS" w:hAnsi="Trebuchet MS"/>
          <w:sz w:val="24"/>
          <w:szCs w:val="24"/>
        </w:rPr>
        <w:t>der</w:t>
      </w:r>
      <w:r w:rsidR="001C2C00">
        <w:rPr>
          <w:rFonts w:ascii="Trebuchet MS" w:hAnsi="Trebuchet MS"/>
          <w:sz w:val="24"/>
          <w:szCs w:val="24"/>
        </w:rPr>
        <w:t xml:space="preserve"> Feststellung, ob</w:t>
      </w:r>
      <w:r>
        <w:rPr>
          <w:rFonts w:ascii="Trebuchet MS" w:hAnsi="Trebuchet MS"/>
          <w:sz w:val="24"/>
          <w:szCs w:val="24"/>
        </w:rPr>
        <w:t xml:space="preserve"> </w:t>
      </w:r>
      <w:r w:rsidR="001C2C00">
        <w:rPr>
          <w:rFonts w:ascii="Trebuchet MS" w:hAnsi="Trebuchet MS"/>
          <w:sz w:val="24"/>
          <w:szCs w:val="24"/>
        </w:rPr>
        <w:t>überhaupt eine grundsätzliche</w:t>
      </w:r>
      <w:r>
        <w:rPr>
          <w:rFonts w:ascii="Trebuchet MS" w:hAnsi="Trebuchet MS"/>
          <w:sz w:val="24"/>
          <w:szCs w:val="24"/>
        </w:rPr>
        <w:t xml:space="preserve"> Notwendigkeit </w:t>
      </w:r>
      <w:r w:rsidR="001C2C00">
        <w:rPr>
          <w:rFonts w:ascii="Trebuchet MS" w:hAnsi="Trebuchet MS"/>
          <w:sz w:val="24"/>
          <w:szCs w:val="24"/>
        </w:rPr>
        <w:t xml:space="preserve">für eine Assistenz besteht. </w:t>
      </w:r>
      <w:r w:rsidR="00A51B1D">
        <w:rPr>
          <w:rFonts w:ascii="Trebuchet MS" w:hAnsi="Trebuchet MS"/>
          <w:sz w:val="24"/>
          <w:szCs w:val="24"/>
        </w:rPr>
        <w:t>Insoweit ist durchaus zu befürchten, dass trotz der geplanten Ergänzung in § 185 SGB IX eine erforderliche Arbeitsassistenz nicht rechtzeitig zu Beginn des Beschäftigungsverhältnisses zur Verfügung steht.</w:t>
      </w:r>
    </w:p>
    <w:p w:rsidR="00CD3D1B" w:rsidRDefault="00CD3D1B" w:rsidP="002612F1">
      <w:pPr>
        <w:spacing w:after="120" w:line="360" w:lineRule="auto"/>
        <w:jc w:val="both"/>
        <w:rPr>
          <w:rFonts w:ascii="Trebuchet MS" w:hAnsi="Trebuchet MS"/>
          <w:sz w:val="24"/>
          <w:szCs w:val="24"/>
        </w:rPr>
      </w:pPr>
    </w:p>
    <w:p w:rsidR="001C2C00" w:rsidRDefault="001C2C00" w:rsidP="002612F1">
      <w:pPr>
        <w:spacing w:after="120" w:line="360" w:lineRule="auto"/>
        <w:jc w:val="both"/>
        <w:rPr>
          <w:rFonts w:ascii="Trebuchet MS" w:hAnsi="Trebuchet MS"/>
          <w:sz w:val="24"/>
          <w:szCs w:val="24"/>
        </w:rPr>
      </w:pPr>
    </w:p>
    <w:p w:rsidR="00CD3D1B" w:rsidRDefault="00CD3D1B" w:rsidP="002612F1">
      <w:pPr>
        <w:spacing w:after="120" w:line="360" w:lineRule="auto"/>
        <w:jc w:val="both"/>
        <w:rPr>
          <w:rFonts w:ascii="Trebuchet MS" w:hAnsi="Trebuchet MS"/>
          <w:sz w:val="24"/>
          <w:szCs w:val="24"/>
        </w:rPr>
      </w:pPr>
    </w:p>
    <w:p w:rsidR="00832446" w:rsidRPr="005C2445" w:rsidRDefault="005C2445" w:rsidP="005C2445">
      <w:pPr>
        <w:jc w:val="right"/>
        <w:rPr>
          <w:rFonts w:ascii="Trebuchet MS" w:hAnsi="Trebuchet MS"/>
          <w:i/>
          <w:sz w:val="24"/>
          <w:szCs w:val="24"/>
        </w:rPr>
      </w:pPr>
      <w:r w:rsidRPr="005C2445">
        <w:rPr>
          <w:rFonts w:ascii="Trebuchet MS" w:hAnsi="Trebuchet MS"/>
          <w:i/>
          <w:sz w:val="24"/>
          <w:szCs w:val="24"/>
        </w:rPr>
        <w:t>Berlin / Düsseldorf, den 02.07.2019</w:t>
      </w:r>
    </w:p>
    <w:sectPr w:rsidR="00832446" w:rsidRPr="005C2445" w:rsidSect="007853C0">
      <w:footerReference w:type="default" r:id="rId10"/>
      <w:pgSz w:w="11906" w:h="16838"/>
      <w:pgMar w:top="1418" w:right="1418" w:bottom="158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7E7" w:rsidRDefault="000927E7" w:rsidP="007853C0">
      <w:r>
        <w:separator/>
      </w:r>
    </w:p>
  </w:endnote>
  <w:endnote w:type="continuationSeparator" w:id="0">
    <w:p w:rsidR="000927E7" w:rsidRDefault="000927E7" w:rsidP="00785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6678"/>
      <w:docPartObj>
        <w:docPartGallery w:val="Page Numbers (Bottom of Page)"/>
        <w:docPartUnique/>
      </w:docPartObj>
    </w:sdtPr>
    <w:sdtEndPr/>
    <w:sdtContent>
      <w:p w:rsidR="007853C0" w:rsidRDefault="007853C0">
        <w:pPr>
          <w:pStyle w:val="Fuzeile"/>
          <w:jc w:val="center"/>
        </w:pPr>
        <w:r>
          <w:fldChar w:fldCharType="begin"/>
        </w:r>
        <w:r>
          <w:instrText>PAGE   \* MERGEFORMAT</w:instrText>
        </w:r>
        <w:r>
          <w:fldChar w:fldCharType="separate"/>
        </w:r>
        <w:r w:rsidR="002F4BFC">
          <w:rPr>
            <w:noProof/>
          </w:rPr>
          <w:t>6</w:t>
        </w:r>
        <w:r>
          <w:fldChar w:fldCharType="end"/>
        </w:r>
      </w:p>
    </w:sdtContent>
  </w:sdt>
  <w:p w:rsidR="007853C0" w:rsidRDefault="007853C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7E7" w:rsidRDefault="000927E7" w:rsidP="007853C0">
      <w:r>
        <w:separator/>
      </w:r>
    </w:p>
  </w:footnote>
  <w:footnote w:type="continuationSeparator" w:id="0">
    <w:p w:rsidR="000927E7" w:rsidRDefault="000927E7" w:rsidP="007853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B4932"/>
    <w:multiLevelType w:val="hybridMultilevel"/>
    <w:tmpl w:val="492EF7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4AF2FA7"/>
    <w:multiLevelType w:val="hybridMultilevel"/>
    <w:tmpl w:val="BD8054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2F1"/>
    <w:rsid w:val="000052E4"/>
    <w:rsid w:val="000552ED"/>
    <w:rsid w:val="000614C8"/>
    <w:rsid w:val="000927E7"/>
    <w:rsid w:val="000B41DE"/>
    <w:rsid w:val="001467C4"/>
    <w:rsid w:val="001966D8"/>
    <w:rsid w:val="001C2C00"/>
    <w:rsid w:val="00247210"/>
    <w:rsid w:val="002612F1"/>
    <w:rsid w:val="0027336E"/>
    <w:rsid w:val="002A5649"/>
    <w:rsid w:val="002F4BFC"/>
    <w:rsid w:val="00316372"/>
    <w:rsid w:val="00424707"/>
    <w:rsid w:val="004831BE"/>
    <w:rsid w:val="00531A27"/>
    <w:rsid w:val="00555D30"/>
    <w:rsid w:val="005C1D91"/>
    <w:rsid w:val="005C2445"/>
    <w:rsid w:val="006357F3"/>
    <w:rsid w:val="00655238"/>
    <w:rsid w:val="006A3634"/>
    <w:rsid w:val="007853C0"/>
    <w:rsid w:val="007A1194"/>
    <w:rsid w:val="00832446"/>
    <w:rsid w:val="008410E5"/>
    <w:rsid w:val="00853B89"/>
    <w:rsid w:val="0093635E"/>
    <w:rsid w:val="009B43A3"/>
    <w:rsid w:val="009F5B37"/>
    <w:rsid w:val="00A51B1D"/>
    <w:rsid w:val="00A740B5"/>
    <w:rsid w:val="00A91056"/>
    <w:rsid w:val="00AB3850"/>
    <w:rsid w:val="00B23BEB"/>
    <w:rsid w:val="00B47EEE"/>
    <w:rsid w:val="00B535B5"/>
    <w:rsid w:val="00B74DAA"/>
    <w:rsid w:val="00BF1D0E"/>
    <w:rsid w:val="00C82EA5"/>
    <w:rsid w:val="00CD3D1B"/>
    <w:rsid w:val="00D22919"/>
    <w:rsid w:val="00E74858"/>
    <w:rsid w:val="00F65E23"/>
    <w:rsid w:val="00F70B18"/>
    <w:rsid w:val="00F82CFC"/>
    <w:rsid w:val="00FA71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612F1"/>
    <w:pPr>
      <w:spacing w:after="0" w:line="240"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612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F1"/>
    <w:rPr>
      <w:rFonts w:ascii="Tahoma" w:eastAsia="Calibri" w:hAnsi="Tahoma" w:cs="Tahoma"/>
      <w:sz w:val="16"/>
      <w:szCs w:val="16"/>
    </w:rPr>
  </w:style>
  <w:style w:type="paragraph" w:styleId="Listenabsatz">
    <w:name w:val="List Paragraph"/>
    <w:basedOn w:val="Standard"/>
    <w:uiPriority w:val="34"/>
    <w:qFormat/>
    <w:rsid w:val="00CD3D1B"/>
    <w:pPr>
      <w:ind w:left="720"/>
      <w:contextualSpacing/>
    </w:pPr>
  </w:style>
  <w:style w:type="paragraph" w:styleId="Kopfzeile">
    <w:name w:val="header"/>
    <w:basedOn w:val="Standard"/>
    <w:link w:val="KopfzeileZchn"/>
    <w:uiPriority w:val="99"/>
    <w:unhideWhenUsed/>
    <w:rsid w:val="007853C0"/>
    <w:pPr>
      <w:tabs>
        <w:tab w:val="center" w:pos="4536"/>
        <w:tab w:val="right" w:pos="9072"/>
      </w:tabs>
    </w:pPr>
  </w:style>
  <w:style w:type="character" w:customStyle="1" w:styleId="KopfzeileZchn">
    <w:name w:val="Kopfzeile Zchn"/>
    <w:basedOn w:val="Absatz-Standardschriftart"/>
    <w:link w:val="Kopfzeile"/>
    <w:uiPriority w:val="99"/>
    <w:rsid w:val="007853C0"/>
    <w:rPr>
      <w:rFonts w:ascii="Calibri" w:eastAsia="Calibri" w:hAnsi="Calibri" w:cs="Times New Roman"/>
    </w:rPr>
  </w:style>
  <w:style w:type="paragraph" w:styleId="Fuzeile">
    <w:name w:val="footer"/>
    <w:basedOn w:val="Standard"/>
    <w:link w:val="FuzeileZchn"/>
    <w:uiPriority w:val="99"/>
    <w:unhideWhenUsed/>
    <w:rsid w:val="007853C0"/>
    <w:pPr>
      <w:tabs>
        <w:tab w:val="center" w:pos="4536"/>
        <w:tab w:val="right" w:pos="9072"/>
      </w:tabs>
    </w:pPr>
  </w:style>
  <w:style w:type="character" w:customStyle="1" w:styleId="FuzeileZchn">
    <w:name w:val="Fußzeile Zchn"/>
    <w:basedOn w:val="Absatz-Standardschriftart"/>
    <w:link w:val="Fuzeile"/>
    <w:uiPriority w:val="99"/>
    <w:rsid w:val="007853C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612F1"/>
    <w:pPr>
      <w:spacing w:after="0" w:line="240"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612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F1"/>
    <w:rPr>
      <w:rFonts w:ascii="Tahoma" w:eastAsia="Calibri" w:hAnsi="Tahoma" w:cs="Tahoma"/>
      <w:sz w:val="16"/>
      <w:szCs w:val="16"/>
    </w:rPr>
  </w:style>
  <w:style w:type="paragraph" w:styleId="Listenabsatz">
    <w:name w:val="List Paragraph"/>
    <w:basedOn w:val="Standard"/>
    <w:uiPriority w:val="34"/>
    <w:qFormat/>
    <w:rsid w:val="00CD3D1B"/>
    <w:pPr>
      <w:ind w:left="720"/>
      <w:contextualSpacing/>
    </w:pPr>
  </w:style>
  <w:style w:type="paragraph" w:styleId="Kopfzeile">
    <w:name w:val="header"/>
    <w:basedOn w:val="Standard"/>
    <w:link w:val="KopfzeileZchn"/>
    <w:uiPriority w:val="99"/>
    <w:unhideWhenUsed/>
    <w:rsid w:val="007853C0"/>
    <w:pPr>
      <w:tabs>
        <w:tab w:val="center" w:pos="4536"/>
        <w:tab w:val="right" w:pos="9072"/>
      </w:tabs>
    </w:pPr>
  </w:style>
  <w:style w:type="character" w:customStyle="1" w:styleId="KopfzeileZchn">
    <w:name w:val="Kopfzeile Zchn"/>
    <w:basedOn w:val="Absatz-Standardschriftart"/>
    <w:link w:val="Kopfzeile"/>
    <w:uiPriority w:val="99"/>
    <w:rsid w:val="007853C0"/>
    <w:rPr>
      <w:rFonts w:ascii="Calibri" w:eastAsia="Calibri" w:hAnsi="Calibri" w:cs="Times New Roman"/>
    </w:rPr>
  </w:style>
  <w:style w:type="paragraph" w:styleId="Fuzeile">
    <w:name w:val="footer"/>
    <w:basedOn w:val="Standard"/>
    <w:link w:val="FuzeileZchn"/>
    <w:uiPriority w:val="99"/>
    <w:unhideWhenUsed/>
    <w:rsid w:val="007853C0"/>
    <w:pPr>
      <w:tabs>
        <w:tab w:val="center" w:pos="4536"/>
        <w:tab w:val="right" w:pos="9072"/>
      </w:tabs>
    </w:pPr>
  </w:style>
  <w:style w:type="character" w:customStyle="1" w:styleId="FuzeileZchn">
    <w:name w:val="Fußzeile Zchn"/>
    <w:basedOn w:val="Absatz-Standardschriftart"/>
    <w:link w:val="Fuzeile"/>
    <w:uiPriority w:val="99"/>
    <w:rsid w:val="007853C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8157B-1942-421F-8A28-566F2A48C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1580</Words>
  <Characters>9959</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 Borner</dc:creator>
  <cp:lastModifiedBy>Holger Borner</cp:lastModifiedBy>
  <cp:revision>7</cp:revision>
  <cp:lastPrinted>2019-07-02T15:11:00Z</cp:lastPrinted>
  <dcterms:created xsi:type="dcterms:W3CDTF">2019-06-18T15:03:00Z</dcterms:created>
  <dcterms:modified xsi:type="dcterms:W3CDTF">2019-07-02T15:13:00Z</dcterms:modified>
</cp:coreProperties>
</file>