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Look w:val="01E0" w:firstRow="1" w:lastRow="1" w:firstColumn="1" w:lastColumn="1" w:noHBand="0" w:noVBand="0"/>
      </w:tblPr>
      <w:tblGrid>
        <w:gridCol w:w="5229"/>
        <w:gridCol w:w="6211"/>
      </w:tblGrid>
      <w:tr w:rsidR="00934801" w:rsidRPr="001F2382" w:rsidTr="00261F75">
        <w:trPr>
          <w:trHeight w:val="2153"/>
        </w:trPr>
        <w:tc>
          <w:tcPr>
            <w:tcW w:w="5229" w:type="dxa"/>
          </w:tcPr>
          <w:p w:rsidR="00934801" w:rsidRPr="003C2C2F" w:rsidRDefault="00934801" w:rsidP="00261F75">
            <w:pPr>
              <w:rPr>
                <w:rFonts w:ascii="Trebuchet MS" w:eastAsia="Times New Roman" w:hAnsi="Trebuchet MS"/>
                <w:sz w:val="24"/>
                <w:szCs w:val="24"/>
                <w:lang w:eastAsia="de-DE"/>
              </w:rPr>
            </w:pPr>
            <w:r>
              <w:rPr>
                <w:rFonts w:ascii="Trebuchet MS" w:eastAsia="Times New Roman" w:hAnsi="Trebuchet MS"/>
                <w:noProof/>
                <w:sz w:val="24"/>
                <w:szCs w:val="24"/>
                <w:lang w:eastAsia="de-DE"/>
              </w:rPr>
              <w:drawing>
                <wp:inline distT="0" distB="0" distL="0" distR="0" wp14:anchorId="45E70E01" wp14:editId="4C110BDD">
                  <wp:extent cx="1685925" cy="1248410"/>
                  <wp:effectExtent l="0" t="0" r="9525" b="8890"/>
                  <wp:docPr id="1" name="Grafik 1" descr="Beschreibung: Beschreibung: 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Die Grafik &quot;file:///Z:/Verschiedenes/BAG_Logo.jpg&quot; kann nicht angezeigt werden, weil sie Fehler enthä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248410"/>
                          </a:xfrm>
                          <a:prstGeom prst="rect">
                            <a:avLst/>
                          </a:prstGeom>
                          <a:noFill/>
                          <a:ln>
                            <a:noFill/>
                          </a:ln>
                        </pic:spPr>
                      </pic:pic>
                    </a:graphicData>
                  </a:graphic>
                </wp:inline>
              </w:drawing>
            </w:r>
          </w:p>
          <w:p w:rsidR="00934801" w:rsidRPr="003C2C2F" w:rsidRDefault="00934801" w:rsidP="00261F75">
            <w:pPr>
              <w:rPr>
                <w:rFonts w:ascii="Trebuchet MS" w:eastAsia="Times New Roman" w:hAnsi="Trebuchet MS"/>
                <w:sz w:val="24"/>
                <w:szCs w:val="24"/>
                <w:lang w:eastAsia="de-DE"/>
              </w:rPr>
            </w:pPr>
          </w:p>
          <w:p w:rsidR="00934801" w:rsidRPr="003C2C2F" w:rsidRDefault="00934801" w:rsidP="00261F75">
            <w:pPr>
              <w:rPr>
                <w:rFonts w:ascii="Trebuchet MS" w:eastAsia="Times New Roman" w:hAnsi="Trebuchet MS"/>
                <w:sz w:val="24"/>
                <w:szCs w:val="24"/>
                <w:lang w:eastAsia="de-DE"/>
              </w:rPr>
            </w:pPr>
          </w:p>
        </w:tc>
        <w:tc>
          <w:tcPr>
            <w:tcW w:w="6211" w:type="dxa"/>
          </w:tcPr>
          <w:p w:rsidR="00934801" w:rsidRPr="003C2C2F" w:rsidRDefault="00934801" w:rsidP="00261F75">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BAG SELBSTHILFE </w:t>
            </w:r>
          </w:p>
          <w:p w:rsidR="00934801" w:rsidRPr="003C2C2F" w:rsidRDefault="00934801" w:rsidP="00261F75">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Bundesarbeitsgemeinschaft Selbsthilfe von</w:t>
            </w:r>
          </w:p>
          <w:p w:rsidR="00934801" w:rsidRPr="003C2C2F" w:rsidRDefault="00934801" w:rsidP="00261F75">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Menschen mit Behinderung</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chronischer </w:t>
            </w:r>
          </w:p>
          <w:p w:rsidR="00934801" w:rsidRPr="003C2C2F" w:rsidRDefault="00934801" w:rsidP="00261F75">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Erkrankung und ihren Angehörigen e.V. </w:t>
            </w:r>
          </w:p>
          <w:p w:rsidR="00934801" w:rsidRPr="003C2C2F" w:rsidRDefault="00934801" w:rsidP="00261F75">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Kirchfeldstr. 149</w:t>
            </w:r>
          </w:p>
          <w:p w:rsidR="00934801" w:rsidRPr="003C2C2F" w:rsidRDefault="00934801" w:rsidP="00261F75">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40215 Düsseldorf</w:t>
            </w:r>
          </w:p>
          <w:p w:rsidR="00934801" w:rsidRPr="003C2C2F" w:rsidRDefault="00934801" w:rsidP="00261F75">
            <w:pPr>
              <w:rPr>
                <w:rFonts w:ascii="Trebuchet MS" w:eastAsia="Times New Roman" w:hAnsi="Trebuchet MS"/>
                <w:sz w:val="24"/>
                <w:szCs w:val="24"/>
                <w:lang w:eastAsia="de-DE"/>
              </w:rPr>
            </w:pPr>
            <w:r>
              <w:rPr>
                <w:rFonts w:ascii="Trebuchet MS" w:eastAsia="Times New Roman" w:hAnsi="Trebuchet MS"/>
                <w:sz w:val="24"/>
                <w:szCs w:val="24"/>
                <w:lang w:eastAsia="de-DE"/>
              </w:rPr>
              <w:t xml:space="preserve">Tel.: </w:t>
            </w:r>
            <w:r w:rsidRPr="003C2C2F">
              <w:rPr>
                <w:rFonts w:ascii="Trebuchet MS" w:eastAsia="Times New Roman" w:hAnsi="Trebuchet MS"/>
                <w:sz w:val="24"/>
                <w:szCs w:val="24"/>
                <w:lang w:eastAsia="de-DE"/>
              </w:rPr>
              <w:t>0211/31006-</w:t>
            </w:r>
            <w:r>
              <w:rPr>
                <w:rFonts w:ascii="Trebuchet MS" w:eastAsia="Times New Roman" w:hAnsi="Trebuchet MS"/>
                <w:sz w:val="24"/>
                <w:szCs w:val="24"/>
                <w:lang w:eastAsia="de-DE"/>
              </w:rPr>
              <w:t>0</w:t>
            </w:r>
          </w:p>
          <w:p w:rsidR="00934801" w:rsidRPr="003C2C2F" w:rsidRDefault="00934801" w:rsidP="00261F75">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Fax.</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0211/31006-48</w:t>
            </w:r>
          </w:p>
        </w:tc>
      </w:tr>
    </w:tbl>
    <w:p w:rsidR="00934801" w:rsidRPr="003C2C2F" w:rsidRDefault="00934801" w:rsidP="00934801">
      <w:pPr>
        <w:rPr>
          <w:rFonts w:ascii="Trebuchet MS" w:eastAsia="Times New Roman" w:hAnsi="Trebuchet MS"/>
          <w:sz w:val="24"/>
          <w:szCs w:val="24"/>
          <w:lang w:eastAsia="de-DE"/>
        </w:rPr>
      </w:pPr>
      <w:r>
        <w:rPr>
          <w:noProof/>
          <w:lang w:eastAsia="de-DE"/>
        </w:rPr>
        <mc:AlternateContent>
          <mc:Choice Requires="wps">
            <w:drawing>
              <wp:anchor distT="4294967294" distB="4294967294" distL="114300" distR="114300" simplePos="0" relativeHeight="251659264" behindDoc="0" locked="0" layoutInCell="1" allowOverlap="1" wp14:anchorId="4A6A79F5" wp14:editId="71D595A6">
                <wp:simplePos x="0" y="0"/>
                <wp:positionH relativeFrom="column">
                  <wp:posOffset>-118745</wp:posOffset>
                </wp:positionH>
                <wp:positionV relativeFrom="paragraph">
                  <wp:posOffset>58419</wp:posOffset>
                </wp:positionV>
                <wp:extent cx="6768465" cy="0"/>
                <wp:effectExtent l="0" t="19050" r="1333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&#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wbZ6iIAIAADYEAAAOAAAAAAAAAAAAAAAAAC4CAABkcnMvZTJvRG9jLnht&#10;bFBLAQItABQABgAIAAAAIQA/sy7s4AAAAAgBAAAPAAAAAAAAAAAAAAAAAHoEAABkcnMvZG93bnJl&#10;di54bWxQSwUGAAAAAAQABADzAAAAhwUAAAAA&#10;" strokecolor="gray" strokeweight="2.25pt"/>
            </w:pict>
          </mc:Fallback>
        </mc:AlternateContent>
      </w:r>
    </w:p>
    <w:p w:rsidR="00934801" w:rsidRDefault="00934801" w:rsidP="00934801">
      <w:pPr>
        <w:tabs>
          <w:tab w:val="left" w:pos="454"/>
          <w:tab w:val="left" w:pos="851"/>
        </w:tabs>
        <w:spacing w:line="360" w:lineRule="auto"/>
        <w:rPr>
          <w:rFonts w:ascii="Trebuchet MS" w:eastAsia="Times New Roman" w:hAnsi="Trebuchet MS"/>
          <w:sz w:val="24"/>
          <w:szCs w:val="20"/>
          <w:lang w:eastAsia="de-DE"/>
        </w:rPr>
      </w:pPr>
    </w:p>
    <w:p w:rsidR="003E1C75" w:rsidRPr="00EE14C5" w:rsidRDefault="003E1C75" w:rsidP="00934801">
      <w:pPr>
        <w:tabs>
          <w:tab w:val="left" w:pos="454"/>
          <w:tab w:val="left" w:pos="851"/>
        </w:tabs>
        <w:spacing w:line="360" w:lineRule="auto"/>
        <w:rPr>
          <w:rFonts w:ascii="Trebuchet MS" w:eastAsia="Times New Roman" w:hAnsi="Trebuchet MS"/>
          <w:sz w:val="24"/>
          <w:szCs w:val="20"/>
          <w:lang w:eastAsia="de-DE"/>
        </w:rPr>
      </w:pPr>
    </w:p>
    <w:p w:rsidR="00934801" w:rsidRPr="00EE14C5" w:rsidRDefault="00934801" w:rsidP="00934801">
      <w:pPr>
        <w:tabs>
          <w:tab w:val="left" w:pos="454"/>
          <w:tab w:val="left" w:pos="851"/>
        </w:tabs>
        <w:spacing w:line="360" w:lineRule="auto"/>
        <w:jc w:val="center"/>
        <w:rPr>
          <w:rFonts w:ascii="Trebuchet MS" w:eastAsia="Times New Roman" w:hAnsi="Trebuchet MS"/>
          <w:b/>
          <w:sz w:val="36"/>
          <w:szCs w:val="36"/>
          <w:lang w:eastAsia="de-DE"/>
        </w:rPr>
      </w:pPr>
      <w:r w:rsidRPr="00EE14C5">
        <w:rPr>
          <w:rFonts w:ascii="Trebuchet MS" w:eastAsia="Times New Roman" w:hAnsi="Trebuchet MS"/>
          <w:b/>
          <w:sz w:val="36"/>
          <w:szCs w:val="36"/>
          <w:lang w:eastAsia="de-DE"/>
        </w:rPr>
        <w:t>Stellungnahme</w:t>
      </w:r>
    </w:p>
    <w:p w:rsidR="00934801" w:rsidRDefault="00934801" w:rsidP="00934801">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der</w:t>
      </w:r>
    </w:p>
    <w:p w:rsidR="00934801" w:rsidRPr="00EE14C5" w:rsidRDefault="00934801" w:rsidP="00934801">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Bundesarbeitsgemeinschaft Selbsthilfe von Menschen mit</w:t>
      </w:r>
    </w:p>
    <w:p w:rsidR="00934801" w:rsidRPr="00EE14C5" w:rsidRDefault="00934801" w:rsidP="00934801">
      <w:pPr>
        <w:tabs>
          <w:tab w:val="left" w:pos="454"/>
          <w:tab w:val="left" w:pos="851"/>
        </w:tabs>
        <w:spacing w:line="360" w:lineRule="auto"/>
        <w:jc w:val="center"/>
        <w:rPr>
          <w:rFonts w:ascii="Trebuchet MS" w:eastAsia="Times New Roman" w:hAnsi="Trebuchet MS"/>
          <w:b/>
          <w:sz w:val="27"/>
          <w:szCs w:val="27"/>
          <w:lang w:eastAsia="de-DE"/>
        </w:rPr>
      </w:pPr>
      <w:r>
        <w:rPr>
          <w:rFonts w:ascii="Trebuchet MS" w:eastAsia="Times New Roman" w:hAnsi="Trebuchet MS"/>
          <w:b/>
          <w:sz w:val="27"/>
          <w:szCs w:val="27"/>
          <w:lang w:eastAsia="de-DE"/>
        </w:rPr>
        <w:t>Behinderung,</w:t>
      </w:r>
      <w:r w:rsidRPr="00EE14C5">
        <w:rPr>
          <w:rFonts w:ascii="Trebuchet MS" w:eastAsia="Times New Roman" w:hAnsi="Trebuchet MS"/>
          <w:b/>
          <w:sz w:val="27"/>
          <w:szCs w:val="27"/>
          <w:lang w:eastAsia="de-DE"/>
        </w:rPr>
        <w:t xml:space="preserve"> chronischer Erkrankung und ihren Angehörigen e. V.</w:t>
      </w:r>
    </w:p>
    <w:p w:rsidR="00934801" w:rsidRPr="00EE14C5" w:rsidRDefault="00934801" w:rsidP="00934801">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(BAG SELBSTHILFE)</w:t>
      </w:r>
    </w:p>
    <w:p w:rsidR="00934801" w:rsidRPr="003E1C75" w:rsidRDefault="00934801" w:rsidP="00934801">
      <w:pPr>
        <w:tabs>
          <w:tab w:val="left" w:pos="454"/>
          <w:tab w:val="left" w:pos="851"/>
        </w:tabs>
        <w:spacing w:line="360" w:lineRule="auto"/>
        <w:jc w:val="center"/>
        <w:rPr>
          <w:rFonts w:ascii="Trebuchet MS" w:eastAsia="Times New Roman" w:hAnsi="Trebuchet MS"/>
          <w:b/>
          <w:bCs/>
          <w:sz w:val="6"/>
          <w:szCs w:val="6"/>
          <w:lang w:eastAsia="de-DE"/>
        </w:rPr>
      </w:pPr>
    </w:p>
    <w:p w:rsidR="00934801" w:rsidRPr="00934801" w:rsidRDefault="00934801" w:rsidP="00934801">
      <w:pPr>
        <w:tabs>
          <w:tab w:val="left" w:pos="454"/>
          <w:tab w:val="left" w:pos="851"/>
        </w:tabs>
        <w:spacing w:line="360" w:lineRule="auto"/>
        <w:jc w:val="center"/>
        <w:rPr>
          <w:rFonts w:ascii="Trebuchet MS" w:eastAsia="Times New Roman" w:hAnsi="Trebuchet MS"/>
          <w:b/>
          <w:bCs/>
          <w:sz w:val="24"/>
          <w:szCs w:val="24"/>
          <w:lang w:eastAsia="de-DE"/>
        </w:rPr>
      </w:pPr>
      <w:r w:rsidRPr="00934801">
        <w:rPr>
          <w:rFonts w:ascii="Trebuchet MS" w:eastAsia="Times New Roman" w:hAnsi="Trebuchet MS"/>
          <w:b/>
          <w:bCs/>
          <w:sz w:val="24"/>
          <w:szCs w:val="24"/>
          <w:lang w:eastAsia="de-DE"/>
        </w:rPr>
        <w:t xml:space="preserve">zum </w:t>
      </w:r>
    </w:p>
    <w:p w:rsidR="00934801" w:rsidRPr="003E1C75" w:rsidRDefault="00934801" w:rsidP="00934801">
      <w:pPr>
        <w:tabs>
          <w:tab w:val="left" w:pos="454"/>
          <w:tab w:val="left" w:pos="851"/>
        </w:tabs>
        <w:spacing w:line="360" w:lineRule="auto"/>
        <w:jc w:val="center"/>
        <w:rPr>
          <w:rFonts w:ascii="Trebuchet MS" w:eastAsia="Times New Roman" w:hAnsi="Trebuchet MS"/>
          <w:b/>
          <w:bCs/>
          <w:sz w:val="6"/>
          <w:szCs w:val="6"/>
          <w:lang w:eastAsia="de-DE"/>
        </w:rPr>
      </w:pPr>
    </w:p>
    <w:p w:rsidR="00934801" w:rsidRPr="00A15E0B" w:rsidRDefault="00934801" w:rsidP="00934801">
      <w:pPr>
        <w:tabs>
          <w:tab w:val="left" w:pos="454"/>
          <w:tab w:val="left" w:pos="851"/>
        </w:tabs>
        <w:autoSpaceDE w:val="0"/>
        <w:autoSpaceDN w:val="0"/>
        <w:adjustRightInd w:val="0"/>
        <w:spacing w:line="360" w:lineRule="auto"/>
        <w:jc w:val="center"/>
        <w:rPr>
          <w:rFonts w:ascii="Trebuchet MS" w:eastAsia="Times New Roman" w:hAnsi="Trebuchet MS"/>
          <w:b/>
          <w:sz w:val="28"/>
          <w:szCs w:val="28"/>
          <w:lang w:eastAsia="de-DE"/>
        </w:rPr>
      </w:pPr>
      <w:r w:rsidRPr="00A15E0B">
        <w:rPr>
          <w:rFonts w:ascii="Trebuchet MS" w:eastAsia="Times New Roman" w:hAnsi="Trebuchet MS"/>
          <w:b/>
          <w:sz w:val="28"/>
          <w:szCs w:val="28"/>
          <w:lang w:eastAsia="de-DE"/>
        </w:rPr>
        <w:t xml:space="preserve">Referentenentwurf eines Gesetzes </w:t>
      </w:r>
    </w:p>
    <w:p w:rsidR="00934801" w:rsidRPr="00A15E0B" w:rsidRDefault="00934801" w:rsidP="00934801">
      <w:pPr>
        <w:tabs>
          <w:tab w:val="left" w:pos="454"/>
          <w:tab w:val="left" w:pos="851"/>
        </w:tabs>
        <w:autoSpaceDE w:val="0"/>
        <w:autoSpaceDN w:val="0"/>
        <w:adjustRightInd w:val="0"/>
        <w:spacing w:line="360" w:lineRule="auto"/>
        <w:jc w:val="center"/>
        <w:rPr>
          <w:rFonts w:ascii="Trebuchet MS" w:eastAsia="Times New Roman" w:hAnsi="Trebuchet MS"/>
          <w:b/>
          <w:sz w:val="28"/>
          <w:szCs w:val="28"/>
          <w:lang w:eastAsia="de-DE"/>
        </w:rPr>
      </w:pPr>
      <w:r w:rsidRPr="00A15E0B">
        <w:rPr>
          <w:rFonts w:ascii="Trebuchet MS" w:eastAsia="Times New Roman" w:hAnsi="Trebuchet MS"/>
          <w:b/>
          <w:sz w:val="28"/>
          <w:szCs w:val="28"/>
          <w:lang w:eastAsia="de-DE"/>
        </w:rPr>
        <w:t>zur Anpassung der Betreuer- und Vormündervergütung</w:t>
      </w:r>
    </w:p>
    <w:p w:rsidR="00934801" w:rsidRPr="00FE1B64" w:rsidRDefault="00934801" w:rsidP="00934801">
      <w:pPr>
        <w:tabs>
          <w:tab w:val="left" w:pos="454"/>
          <w:tab w:val="left" w:pos="851"/>
        </w:tabs>
        <w:autoSpaceDE w:val="0"/>
        <w:autoSpaceDN w:val="0"/>
        <w:adjustRightInd w:val="0"/>
        <w:spacing w:line="360" w:lineRule="auto"/>
        <w:jc w:val="center"/>
        <w:rPr>
          <w:rFonts w:ascii="Trebuchet MS" w:eastAsia="Times New Roman" w:hAnsi="Trebuchet MS"/>
          <w:b/>
          <w:sz w:val="27"/>
          <w:szCs w:val="27"/>
          <w:lang w:eastAsia="de-DE"/>
        </w:rPr>
      </w:pPr>
    </w:p>
    <w:p w:rsidR="00934801" w:rsidRDefault="00934801" w:rsidP="00934801">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p>
    <w:p w:rsidR="00737746" w:rsidRDefault="00934801" w:rsidP="00D61B18">
      <w:pPr>
        <w:spacing w:after="120" w:line="360" w:lineRule="auto"/>
        <w:jc w:val="both"/>
        <w:rPr>
          <w:rFonts w:ascii="Trebuchet MS" w:hAnsi="Trebuchet MS"/>
          <w:sz w:val="24"/>
          <w:szCs w:val="24"/>
        </w:rPr>
      </w:pPr>
      <w:r>
        <w:rPr>
          <w:rFonts w:ascii="Trebuchet MS" w:hAnsi="Trebuchet MS"/>
          <w:sz w:val="24"/>
          <w:szCs w:val="24"/>
        </w:rPr>
        <w:t>Als Dachverband von 117</w:t>
      </w:r>
      <w:r w:rsidRPr="00006554">
        <w:rPr>
          <w:rFonts w:ascii="Trebuchet MS" w:hAnsi="Trebuchet MS"/>
          <w:sz w:val="24"/>
          <w:szCs w:val="24"/>
        </w:rPr>
        <w:t xml:space="preserve"> Bundesverbänden der Selbsthilfe chronisch kranker und behinderter Menschen sowie von 13 </w:t>
      </w:r>
      <w:r>
        <w:rPr>
          <w:rFonts w:ascii="Trebuchet MS" w:hAnsi="Trebuchet MS"/>
          <w:sz w:val="24"/>
          <w:szCs w:val="24"/>
        </w:rPr>
        <w:t xml:space="preserve">Landesarbeitsgemeinschaften begrüßt </w:t>
      </w:r>
      <w:r w:rsidRPr="00006554">
        <w:rPr>
          <w:rFonts w:ascii="Trebuchet MS" w:hAnsi="Trebuchet MS"/>
          <w:sz w:val="24"/>
          <w:szCs w:val="24"/>
        </w:rPr>
        <w:t xml:space="preserve">die BAG SELBSTHILFE </w:t>
      </w:r>
      <w:r>
        <w:rPr>
          <w:rFonts w:ascii="Trebuchet MS" w:hAnsi="Trebuchet MS"/>
          <w:sz w:val="24"/>
          <w:szCs w:val="24"/>
        </w:rPr>
        <w:t xml:space="preserve">den vorliegenden Referentenentwurf von seinem Grundsatz her. </w:t>
      </w:r>
      <w:r w:rsidR="00A15E0B">
        <w:rPr>
          <w:rFonts w:ascii="Trebuchet MS" w:hAnsi="Trebuchet MS"/>
          <w:sz w:val="24"/>
          <w:szCs w:val="24"/>
        </w:rPr>
        <w:t>Denn a</w:t>
      </w:r>
      <w:r>
        <w:rPr>
          <w:rFonts w:ascii="Trebuchet MS" w:hAnsi="Trebuchet MS"/>
          <w:sz w:val="24"/>
          <w:szCs w:val="24"/>
        </w:rPr>
        <w:t xml:space="preserve">llein </w:t>
      </w:r>
      <w:r w:rsidR="004C1A80">
        <w:rPr>
          <w:rFonts w:ascii="Trebuchet MS" w:hAnsi="Trebuchet MS"/>
          <w:sz w:val="24"/>
          <w:szCs w:val="24"/>
        </w:rPr>
        <w:t>die Tatsache</w:t>
      </w:r>
      <w:r>
        <w:rPr>
          <w:rFonts w:ascii="Trebuchet MS" w:hAnsi="Trebuchet MS"/>
          <w:sz w:val="24"/>
          <w:szCs w:val="24"/>
        </w:rPr>
        <w:t>, dass die Stundensätz</w:t>
      </w:r>
      <w:r w:rsidR="00A15E0B">
        <w:rPr>
          <w:rFonts w:ascii="Trebuchet MS" w:hAnsi="Trebuchet MS"/>
          <w:sz w:val="24"/>
          <w:szCs w:val="24"/>
        </w:rPr>
        <w:t>e der beruflichen</w:t>
      </w:r>
      <w:r>
        <w:rPr>
          <w:rFonts w:ascii="Trebuchet MS" w:hAnsi="Trebuchet MS"/>
          <w:sz w:val="24"/>
          <w:szCs w:val="24"/>
        </w:rPr>
        <w:t xml:space="preserve"> </w:t>
      </w:r>
      <w:r w:rsidR="00A15E0B">
        <w:rPr>
          <w:rFonts w:ascii="Trebuchet MS" w:hAnsi="Trebuchet MS"/>
          <w:sz w:val="24"/>
          <w:szCs w:val="24"/>
        </w:rPr>
        <w:t>Betreuer</w:t>
      </w:r>
      <w:r>
        <w:rPr>
          <w:rFonts w:ascii="Trebuchet MS" w:hAnsi="Trebuchet MS"/>
          <w:sz w:val="24"/>
          <w:szCs w:val="24"/>
        </w:rPr>
        <w:t xml:space="preserve"> </w:t>
      </w:r>
      <w:r w:rsidR="004C1A80">
        <w:rPr>
          <w:rFonts w:ascii="Trebuchet MS" w:hAnsi="Trebuchet MS"/>
          <w:sz w:val="24"/>
          <w:szCs w:val="24"/>
        </w:rPr>
        <w:t xml:space="preserve">trotz stetig steigender Lebenshaltungskosten </w:t>
      </w:r>
      <w:r>
        <w:rPr>
          <w:rFonts w:ascii="Trebuchet MS" w:hAnsi="Trebuchet MS"/>
          <w:sz w:val="24"/>
          <w:szCs w:val="24"/>
        </w:rPr>
        <w:t xml:space="preserve">seit </w:t>
      </w:r>
      <w:r w:rsidR="004C1A80">
        <w:rPr>
          <w:rFonts w:ascii="Trebuchet MS" w:hAnsi="Trebuchet MS"/>
          <w:sz w:val="24"/>
          <w:szCs w:val="24"/>
        </w:rPr>
        <w:t xml:space="preserve">über 13 Jahren nicht erhöht worden sind, verdeutlicht die dringende Notwendigkeit, die Vergütung anzupassen. </w:t>
      </w:r>
      <w:r w:rsidR="00A15E0B">
        <w:rPr>
          <w:rFonts w:ascii="Trebuchet MS" w:hAnsi="Trebuchet MS"/>
          <w:sz w:val="24"/>
          <w:szCs w:val="24"/>
        </w:rPr>
        <w:t>Allerdings</w:t>
      </w:r>
      <w:r w:rsidR="00746F3B">
        <w:rPr>
          <w:rFonts w:ascii="Trebuchet MS" w:hAnsi="Trebuchet MS"/>
          <w:sz w:val="24"/>
          <w:szCs w:val="24"/>
        </w:rPr>
        <w:t xml:space="preserve"> erscheint</w:t>
      </w:r>
      <w:r w:rsidR="00A15E0B">
        <w:rPr>
          <w:rFonts w:ascii="Trebuchet MS" w:hAnsi="Trebuchet MS"/>
          <w:sz w:val="24"/>
          <w:szCs w:val="24"/>
        </w:rPr>
        <w:t xml:space="preserve"> </w:t>
      </w:r>
      <w:r w:rsidR="00746F3B">
        <w:rPr>
          <w:rFonts w:ascii="Trebuchet MS" w:hAnsi="Trebuchet MS"/>
          <w:sz w:val="24"/>
          <w:szCs w:val="24"/>
        </w:rPr>
        <w:t>die geplante Erhöhung</w:t>
      </w:r>
      <w:r w:rsidR="005603DC">
        <w:rPr>
          <w:rFonts w:ascii="Trebuchet MS" w:hAnsi="Trebuchet MS"/>
          <w:sz w:val="24"/>
          <w:szCs w:val="24"/>
        </w:rPr>
        <w:t xml:space="preserve"> der allgemeinen Vergütung der beruflichen Betreuer und</w:t>
      </w:r>
      <w:r w:rsidR="00746F3B">
        <w:rPr>
          <w:rFonts w:ascii="Trebuchet MS" w:hAnsi="Trebuchet MS"/>
          <w:sz w:val="24"/>
          <w:szCs w:val="24"/>
        </w:rPr>
        <w:t xml:space="preserve"> des Stundensatzes </w:t>
      </w:r>
      <w:r w:rsidR="005603DC">
        <w:rPr>
          <w:rFonts w:ascii="Trebuchet MS" w:hAnsi="Trebuchet MS"/>
          <w:sz w:val="24"/>
          <w:szCs w:val="24"/>
        </w:rPr>
        <w:t xml:space="preserve">für Berufsvormünder </w:t>
      </w:r>
      <w:r w:rsidR="00746F3B">
        <w:rPr>
          <w:rFonts w:ascii="Trebuchet MS" w:hAnsi="Trebuchet MS"/>
          <w:sz w:val="24"/>
          <w:szCs w:val="24"/>
        </w:rPr>
        <w:t xml:space="preserve">von </w:t>
      </w:r>
      <w:r w:rsidR="005603DC">
        <w:rPr>
          <w:rFonts w:ascii="Trebuchet MS" w:hAnsi="Trebuchet MS"/>
          <w:sz w:val="24"/>
          <w:szCs w:val="24"/>
        </w:rPr>
        <w:t xml:space="preserve">jeweils </w:t>
      </w:r>
      <w:r w:rsidR="00746F3B">
        <w:rPr>
          <w:rFonts w:ascii="Trebuchet MS" w:hAnsi="Trebuchet MS"/>
          <w:sz w:val="24"/>
          <w:szCs w:val="24"/>
        </w:rPr>
        <w:t xml:space="preserve">durchschnittlich 17 % </w:t>
      </w:r>
      <w:r w:rsidR="005603DC">
        <w:rPr>
          <w:rFonts w:ascii="Trebuchet MS" w:hAnsi="Trebuchet MS"/>
          <w:sz w:val="24"/>
          <w:szCs w:val="24"/>
        </w:rPr>
        <w:t xml:space="preserve">unzureichend angesichts der gestiegenen Verbraucherpreise, aber </w:t>
      </w:r>
      <w:r w:rsidR="00A15E0B">
        <w:rPr>
          <w:rFonts w:ascii="Trebuchet MS" w:hAnsi="Trebuchet MS"/>
          <w:sz w:val="24"/>
          <w:szCs w:val="24"/>
        </w:rPr>
        <w:t>gerade auch vor dem Hintergrund</w:t>
      </w:r>
      <w:r w:rsidR="00393628">
        <w:rPr>
          <w:rFonts w:ascii="Trebuchet MS" w:hAnsi="Trebuchet MS"/>
          <w:sz w:val="24"/>
          <w:szCs w:val="24"/>
        </w:rPr>
        <w:t xml:space="preserve"> der in den letzten Jahren</w:t>
      </w:r>
      <w:r w:rsidR="00A15E0B">
        <w:rPr>
          <w:rFonts w:ascii="Trebuchet MS" w:hAnsi="Trebuchet MS"/>
          <w:sz w:val="24"/>
          <w:szCs w:val="24"/>
        </w:rPr>
        <w:t xml:space="preserve"> stark</w:t>
      </w:r>
      <w:r w:rsidR="00393628">
        <w:rPr>
          <w:rFonts w:ascii="Trebuchet MS" w:hAnsi="Trebuchet MS"/>
          <w:sz w:val="24"/>
          <w:szCs w:val="24"/>
        </w:rPr>
        <w:t xml:space="preserve"> </w:t>
      </w:r>
      <w:r w:rsidR="00E75478">
        <w:rPr>
          <w:rFonts w:ascii="Trebuchet MS" w:hAnsi="Trebuchet MS"/>
          <w:sz w:val="24"/>
          <w:szCs w:val="24"/>
        </w:rPr>
        <w:t>erhöhte</w:t>
      </w:r>
      <w:r w:rsidR="00393628">
        <w:rPr>
          <w:rFonts w:ascii="Trebuchet MS" w:hAnsi="Trebuchet MS"/>
          <w:sz w:val="24"/>
          <w:szCs w:val="24"/>
        </w:rPr>
        <w:t xml:space="preserve">n Anforderungen </w:t>
      </w:r>
      <w:r w:rsidR="003E1C75">
        <w:rPr>
          <w:rFonts w:ascii="Trebuchet MS" w:hAnsi="Trebuchet MS"/>
          <w:sz w:val="24"/>
          <w:szCs w:val="24"/>
        </w:rPr>
        <w:t xml:space="preserve">bei der Betreuung </w:t>
      </w:r>
      <w:r w:rsidR="00393628">
        <w:rPr>
          <w:rFonts w:ascii="Trebuchet MS" w:hAnsi="Trebuchet MS"/>
          <w:sz w:val="24"/>
          <w:szCs w:val="24"/>
        </w:rPr>
        <w:t xml:space="preserve">und der entsprechenden Verantwortung </w:t>
      </w:r>
      <w:r w:rsidR="00737746">
        <w:rPr>
          <w:rFonts w:ascii="Trebuchet MS" w:hAnsi="Trebuchet MS"/>
          <w:sz w:val="24"/>
          <w:szCs w:val="24"/>
        </w:rPr>
        <w:t>eines Betreuers</w:t>
      </w:r>
      <w:r w:rsidR="005603DC">
        <w:rPr>
          <w:rFonts w:ascii="Trebuchet MS" w:hAnsi="Trebuchet MS"/>
          <w:sz w:val="24"/>
          <w:szCs w:val="24"/>
        </w:rPr>
        <w:t>.</w:t>
      </w:r>
    </w:p>
    <w:p w:rsidR="00934801" w:rsidRDefault="00737746" w:rsidP="00D61B18">
      <w:pPr>
        <w:spacing w:after="120" w:line="360" w:lineRule="auto"/>
        <w:jc w:val="both"/>
        <w:rPr>
          <w:rFonts w:ascii="Trebuchet MS" w:hAnsi="Trebuchet MS"/>
          <w:sz w:val="24"/>
          <w:szCs w:val="24"/>
        </w:rPr>
      </w:pPr>
      <w:r>
        <w:rPr>
          <w:rFonts w:ascii="Trebuchet MS" w:hAnsi="Trebuchet MS"/>
          <w:sz w:val="24"/>
          <w:szCs w:val="24"/>
        </w:rPr>
        <w:lastRenderedPageBreak/>
        <w:t>Zum einen haben sich die gesetzlichen Rahmenbedingungen in den letzten Jahren vielfach geändert (z.B. Neuregelungen im Bürgerlichen Gesetzbuch, etwa zum Thema Patientenverfügung oder zum Th</w:t>
      </w:r>
      <w:r w:rsidR="00E75478">
        <w:rPr>
          <w:rFonts w:ascii="Trebuchet MS" w:hAnsi="Trebuchet MS"/>
          <w:sz w:val="24"/>
          <w:szCs w:val="24"/>
        </w:rPr>
        <w:t>ema Zwangsbehandlung, ebenso</w:t>
      </w:r>
      <w:r>
        <w:rPr>
          <w:rFonts w:ascii="Trebuchet MS" w:hAnsi="Trebuchet MS"/>
          <w:sz w:val="24"/>
          <w:szCs w:val="24"/>
        </w:rPr>
        <w:t xml:space="preserve"> im Sozialgesetzbuch, etwa im Bereich SGB II wie auch im SGB XII und nicht zuletzt durch das BTHG und die Reform der Eingliederungshilfe), was sowohl einen entsprechenden Schulungsbedarf </w:t>
      </w:r>
      <w:r w:rsidR="00472F1F">
        <w:rPr>
          <w:rFonts w:ascii="Trebuchet MS" w:hAnsi="Trebuchet MS"/>
          <w:sz w:val="24"/>
          <w:szCs w:val="24"/>
        </w:rPr>
        <w:t>hervor</w:t>
      </w:r>
      <w:r>
        <w:rPr>
          <w:rFonts w:ascii="Trebuchet MS" w:hAnsi="Trebuchet MS"/>
          <w:sz w:val="24"/>
          <w:szCs w:val="24"/>
        </w:rPr>
        <w:t>ruf</w:t>
      </w:r>
      <w:r w:rsidR="00472F1F">
        <w:rPr>
          <w:rFonts w:ascii="Trebuchet MS" w:hAnsi="Trebuchet MS"/>
          <w:sz w:val="24"/>
          <w:szCs w:val="24"/>
        </w:rPr>
        <w:t>t</w:t>
      </w:r>
      <w:r>
        <w:rPr>
          <w:rFonts w:ascii="Trebuchet MS" w:hAnsi="Trebuchet MS"/>
          <w:sz w:val="24"/>
          <w:szCs w:val="24"/>
        </w:rPr>
        <w:t xml:space="preserve"> als auch zu einem erhöhten und damit zeitaufwendigeren Verwaltungsaufwand geführt hat</w:t>
      </w:r>
      <w:r w:rsidR="00472F1F">
        <w:rPr>
          <w:rFonts w:ascii="Trebuchet MS" w:hAnsi="Trebuchet MS"/>
          <w:sz w:val="24"/>
          <w:szCs w:val="24"/>
        </w:rPr>
        <w:t xml:space="preserve"> bzw. noch führen wird</w:t>
      </w:r>
      <w:r>
        <w:rPr>
          <w:rFonts w:ascii="Trebuchet MS" w:hAnsi="Trebuchet MS"/>
          <w:sz w:val="24"/>
          <w:szCs w:val="24"/>
        </w:rPr>
        <w:t xml:space="preserve">. Zum anderen sind </w:t>
      </w:r>
      <w:r w:rsidR="00472F1F">
        <w:rPr>
          <w:rFonts w:ascii="Trebuchet MS" w:hAnsi="Trebuchet MS"/>
          <w:sz w:val="24"/>
          <w:szCs w:val="24"/>
        </w:rPr>
        <w:t>die konkreten Betreuungss</w:t>
      </w:r>
      <w:r>
        <w:rPr>
          <w:rFonts w:ascii="Trebuchet MS" w:hAnsi="Trebuchet MS"/>
          <w:sz w:val="24"/>
          <w:szCs w:val="24"/>
        </w:rPr>
        <w:t>ituationen</w:t>
      </w:r>
      <w:r w:rsidR="00472F1F">
        <w:rPr>
          <w:rFonts w:ascii="Trebuchet MS" w:hAnsi="Trebuchet MS"/>
          <w:sz w:val="24"/>
          <w:szCs w:val="24"/>
        </w:rPr>
        <w:t xml:space="preserve"> und entsprechend erforderlichen Anforderungen an den Betreuer vielfach komplexer und schwieriger geworden. Diese Tatsachen müssen nach Auffassung der BAG SELBSTHILFE bei der Festsetzung der Vergütungshöhe gleichfalls hinreichende Berücksichtigung finden, was</w:t>
      </w:r>
      <w:r w:rsidR="0066533B">
        <w:rPr>
          <w:rFonts w:ascii="Trebuchet MS" w:hAnsi="Trebuchet MS"/>
          <w:sz w:val="24"/>
          <w:szCs w:val="24"/>
        </w:rPr>
        <w:t xml:space="preserve"> nach</w:t>
      </w:r>
      <w:r w:rsidR="008C23D6">
        <w:rPr>
          <w:rFonts w:ascii="Trebuchet MS" w:hAnsi="Trebuchet MS"/>
          <w:sz w:val="24"/>
          <w:szCs w:val="24"/>
        </w:rPr>
        <w:t xml:space="preserve"> dem</w:t>
      </w:r>
      <w:r w:rsidR="00472F1F">
        <w:rPr>
          <w:rFonts w:ascii="Trebuchet MS" w:hAnsi="Trebuchet MS"/>
          <w:sz w:val="24"/>
          <w:szCs w:val="24"/>
        </w:rPr>
        <w:t xml:space="preserve"> im Referentenentwurf </w:t>
      </w:r>
      <w:r w:rsidR="008C23D6">
        <w:rPr>
          <w:rFonts w:ascii="Trebuchet MS" w:hAnsi="Trebuchet MS"/>
          <w:sz w:val="24"/>
          <w:szCs w:val="24"/>
        </w:rPr>
        <w:t xml:space="preserve">enthaltenen Fallpauschalsystem (§§ 4 </w:t>
      </w:r>
      <w:r w:rsidR="00FB0755">
        <w:rPr>
          <w:rFonts w:ascii="Trebuchet MS" w:hAnsi="Trebuchet MS"/>
          <w:sz w:val="24"/>
          <w:szCs w:val="24"/>
        </w:rPr>
        <w:t>bis</w:t>
      </w:r>
      <w:r w:rsidR="008C23D6">
        <w:rPr>
          <w:rFonts w:ascii="Trebuchet MS" w:hAnsi="Trebuchet MS"/>
          <w:sz w:val="24"/>
          <w:szCs w:val="24"/>
        </w:rPr>
        <w:t xml:space="preserve"> 5</w:t>
      </w:r>
      <w:r w:rsidR="00FB0755">
        <w:rPr>
          <w:rFonts w:ascii="Trebuchet MS" w:hAnsi="Trebuchet MS"/>
          <w:sz w:val="24"/>
          <w:szCs w:val="24"/>
        </w:rPr>
        <w:t>a</w:t>
      </w:r>
      <w:r w:rsidR="008C23D6">
        <w:rPr>
          <w:rFonts w:ascii="Trebuchet MS" w:hAnsi="Trebuchet MS"/>
          <w:sz w:val="24"/>
          <w:szCs w:val="24"/>
        </w:rPr>
        <w:t xml:space="preserve">) </w:t>
      </w:r>
      <w:r w:rsidR="00AB2735">
        <w:rPr>
          <w:rFonts w:ascii="Trebuchet MS" w:hAnsi="Trebuchet MS"/>
          <w:sz w:val="24"/>
          <w:szCs w:val="24"/>
        </w:rPr>
        <w:t>aber nicht der Fall ist, wo lediglich abstrakt auf die Dauer der Betreuung, den gewöhnlichen Aufenthaltsort des Betreuten und den Vermögensstatus des Betreuten abgestellt wird.</w:t>
      </w:r>
    </w:p>
    <w:p w:rsidR="00393628" w:rsidRDefault="00472F1F" w:rsidP="00D61B18">
      <w:pPr>
        <w:spacing w:after="120" w:line="360" w:lineRule="auto"/>
        <w:jc w:val="both"/>
        <w:rPr>
          <w:rFonts w:ascii="Trebuchet MS" w:hAnsi="Trebuchet MS"/>
          <w:sz w:val="24"/>
          <w:szCs w:val="24"/>
        </w:rPr>
      </w:pPr>
      <w:r>
        <w:rPr>
          <w:rFonts w:ascii="Trebuchet MS" w:hAnsi="Trebuchet MS"/>
          <w:sz w:val="24"/>
          <w:szCs w:val="24"/>
        </w:rPr>
        <w:t>Denn z</w:t>
      </w:r>
      <w:r w:rsidR="00393628">
        <w:rPr>
          <w:rFonts w:ascii="Trebuchet MS" w:hAnsi="Trebuchet MS"/>
          <w:sz w:val="24"/>
          <w:szCs w:val="24"/>
        </w:rPr>
        <w:t xml:space="preserve">u berücksichtigen ist, dass sich die Vergütung immer auch auf die Qualität der Betreuung auswirkt. </w:t>
      </w:r>
      <w:r w:rsidR="0066533B">
        <w:rPr>
          <w:rFonts w:ascii="Trebuchet MS" w:hAnsi="Trebuchet MS"/>
          <w:sz w:val="24"/>
          <w:szCs w:val="24"/>
        </w:rPr>
        <w:t>Hier ist</w:t>
      </w:r>
      <w:r w:rsidR="00697E88">
        <w:rPr>
          <w:rFonts w:ascii="Trebuchet MS" w:hAnsi="Trebuchet MS"/>
          <w:sz w:val="24"/>
          <w:szCs w:val="24"/>
        </w:rPr>
        <w:t xml:space="preserve"> es</w:t>
      </w:r>
      <w:r w:rsidR="0066533B">
        <w:rPr>
          <w:rFonts w:ascii="Trebuchet MS" w:hAnsi="Trebuchet MS"/>
          <w:sz w:val="24"/>
          <w:szCs w:val="24"/>
        </w:rPr>
        <w:t xml:space="preserve"> angesichts der dargestellten Situation dringend</w:t>
      </w:r>
      <w:r w:rsidR="00697E88">
        <w:rPr>
          <w:rFonts w:ascii="Trebuchet MS" w:hAnsi="Trebuchet MS"/>
          <w:sz w:val="24"/>
          <w:szCs w:val="24"/>
        </w:rPr>
        <w:t xml:space="preserve"> angezeigt, drohenden Qualitätsverlusten entschieden </w:t>
      </w:r>
      <w:r w:rsidR="0066533B">
        <w:rPr>
          <w:rFonts w:ascii="Trebuchet MS" w:hAnsi="Trebuchet MS"/>
          <w:sz w:val="24"/>
          <w:szCs w:val="24"/>
        </w:rPr>
        <w:t>entgegenzuwirken</w:t>
      </w:r>
      <w:r w:rsidR="00697E88">
        <w:rPr>
          <w:rFonts w:ascii="Trebuchet MS" w:hAnsi="Trebuchet MS"/>
          <w:sz w:val="24"/>
          <w:szCs w:val="24"/>
        </w:rPr>
        <w:t xml:space="preserve">, wobei die Vergütung sicherlich </w:t>
      </w:r>
      <w:r w:rsidR="007C7BE6">
        <w:rPr>
          <w:rFonts w:ascii="Trebuchet MS" w:hAnsi="Trebuchet MS"/>
          <w:sz w:val="24"/>
          <w:szCs w:val="24"/>
        </w:rPr>
        <w:t>einen der vielen</w:t>
      </w:r>
      <w:r w:rsidR="00697E88">
        <w:rPr>
          <w:rFonts w:ascii="Trebuchet MS" w:hAnsi="Trebuchet MS"/>
          <w:sz w:val="24"/>
          <w:szCs w:val="24"/>
        </w:rPr>
        <w:t xml:space="preserve"> Aspekt</w:t>
      </w:r>
      <w:r w:rsidR="007C7BE6">
        <w:rPr>
          <w:rFonts w:ascii="Trebuchet MS" w:hAnsi="Trebuchet MS"/>
          <w:sz w:val="24"/>
          <w:szCs w:val="24"/>
        </w:rPr>
        <w:t>e</w:t>
      </w:r>
      <w:r w:rsidR="00697E88">
        <w:rPr>
          <w:rFonts w:ascii="Trebuchet MS" w:hAnsi="Trebuchet MS"/>
          <w:sz w:val="24"/>
          <w:szCs w:val="24"/>
        </w:rPr>
        <w:t xml:space="preserve"> darstellt, d</w:t>
      </w:r>
      <w:r w:rsidR="007C7BE6">
        <w:rPr>
          <w:rFonts w:ascii="Trebuchet MS" w:hAnsi="Trebuchet MS"/>
          <w:sz w:val="24"/>
          <w:szCs w:val="24"/>
        </w:rPr>
        <w:t>ie insoweit</w:t>
      </w:r>
      <w:r w:rsidR="00E75478">
        <w:rPr>
          <w:rFonts w:ascii="Trebuchet MS" w:hAnsi="Trebuchet MS"/>
          <w:sz w:val="24"/>
          <w:szCs w:val="24"/>
        </w:rPr>
        <w:t xml:space="preserve"> eine Rolle spielen</w:t>
      </w:r>
      <w:r w:rsidR="00697E88">
        <w:rPr>
          <w:rFonts w:ascii="Trebuchet MS" w:hAnsi="Trebuchet MS"/>
          <w:sz w:val="24"/>
          <w:szCs w:val="24"/>
        </w:rPr>
        <w:t xml:space="preserve">. Zu bedenken ist </w:t>
      </w:r>
      <w:r w:rsidR="00E75478">
        <w:rPr>
          <w:rFonts w:ascii="Trebuchet MS" w:hAnsi="Trebuchet MS"/>
          <w:sz w:val="24"/>
          <w:szCs w:val="24"/>
        </w:rPr>
        <w:t>dabei</w:t>
      </w:r>
      <w:r w:rsidR="00697E88">
        <w:rPr>
          <w:rFonts w:ascii="Trebuchet MS" w:hAnsi="Trebuchet MS"/>
          <w:sz w:val="24"/>
          <w:szCs w:val="24"/>
        </w:rPr>
        <w:t>, dass d</w:t>
      </w:r>
      <w:r w:rsidR="0066533B">
        <w:rPr>
          <w:rFonts w:ascii="Trebuchet MS" w:hAnsi="Trebuchet MS"/>
          <w:sz w:val="24"/>
          <w:szCs w:val="24"/>
        </w:rPr>
        <w:t>ie Vergütung nicht zuletzt auch</w:t>
      </w:r>
      <w:r w:rsidR="00393628">
        <w:rPr>
          <w:rFonts w:ascii="Trebuchet MS" w:hAnsi="Trebuchet MS"/>
          <w:sz w:val="24"/>
          <w:szCs w:val="24"/>
        </w:rPr>
        <w:t xml:space="preserve"> das Maß der Wertschätzung aus</w:t>
      </w:r>
      <w:r w:rsidR="00697E88">
        <w:rPr>
          <w:rFonts w:ascii="Trebuchet MS" w:hAnsi="Trebuchet MS"/>
          <w:sz w:val="24"/>
          <w:szCs w:val="24"/>
        </w:rPr>
        <w:t>drückt</w:t>
      </w:r>
      <w:r w:rsidR="00393628">
        <w:rPr>
          <w:rFonts w:ascii="Trebuchet MS" w:hAnsi="Trebuchet MS"/>
          <w:sz w:val="24"/>
          <w:szCs w:val="24"/>
        </w:rPr>
        <w:t xml:space="preserve">, die der Staat und </w:t>
      </w:r>
      <w:r w:rsidR="00697E88">
        <w:rPr>
          <w:rFonts w:ascii="Trebuchet MS" w:hAnsi="Trebuchet MS"/>
          <w:sz w:val="24"/>
          <w:szCs w:val="24"/>
        </w:rPr>
        <w:t xml:space="preserve">die </w:t>
      </w:r>
      <w:r w:rsidR="00393628">
        <w:rPr>
          <w:rFonts w:ascii="Trebuchet MS" w:hAnsi="Trebuchet MS"/>
          <w:sz w:val="24"/>
          <w:szCs w:val="24"/>
        </w:rPr>
        <w:t xml:space="preserve">Gesellschaft </w:t>
      </w:r>
      <w:r w:rsidR="00697E88">
        <w:rPr>
          <w:rFonts w:ascii="Trebuchet MS" w:hAnsi="Trebuchet MS"/>
          <w:sz w:val="24"/>
          <w:szCs w:val="24"/>
        </w:rPr>
        <w:t>der</w:t>
      </w:r>
      <w:bookmarkStart w:id="0" w:name="_GoBack"/>
      <w:bookmarkEnd w:id="0"/>
      <w:r w:rsidR="00697E88">
        <w:rPr>
          <w:rFonts w:ascii="Trebuchet MS" w:hAnsi="Trebuchet MS"/>
          <w:sz w:val="24"/>
          <w:szCs w:val="24"/>
        </w:rPr>
        <w:t xml:space="preserve"> Betreuungs</w:t>
      </w:r>
      <w:r w:rsidR="00E75478">
        <w:rPr>
          <w:rFonts w:ascii="Trebuchet MS" w:hAnsi="Trebuchet MS"/>
          <w:sz w:val="24"/>
          <w:szCs w:val="24"/>
        </w:rPr>
        <w:t>-</w:t>
      </w:r>
      <w:r w:rsidR="00697E88">
        <w:rPr>
          <w:rFonts w:ascii="Trebuchet MS" w:hAnsi="Trebuchet MS"/>
          <w:sz w:val="24"/>
          <w:szCs w:val="24"/>
        </w:rPr>
        <w:t xml:space="preserve">tätigkeit </w:t>
      </w:r>
      <w:r w:rsidR="00393628">
        <w:rPr>
          <w:rFonts w:ascii="Trebuchet MS" w:hAnsi="Trebuchet MS"/>
          <w:sz w:val="24"/>
          <w:szCs w:val="24"/>
        </w:rPr>
        <w:t>entgegen</w:t>
      </w:r>
      <w:r w:rsidR="00697E88">
        <w:rPr>
          <w:rFonts w:ascii="Trebuchet MS" w:hAnsi="Trebuchet MS"/>
          <w:sz w:val="24"/>
          <w:szCs w:val="24"/>
        </w:rPr>
        <w:t xml:space="preserve">bringen, und damit </w:t>
      </w:r>
      <w:r w:rsidR="00393628">
        <w:rPr>
          <w:rFonts w:ascii="Trebuchet MS" w:hAnsi="Trebuchet MS"/>
          <w:sz w:val="24"/>
          <w:szCs w:val="24"/>
        </w:rPr>
        <w:t xml:space="preserve">ist sie letztlich auch </w:t>
      </w:r>
      <w:r w:rsidR="00697E88">
        <w:rPr>
          <w:rFonts w:ascii="Trebuchet MS" w:hAnsi="Trebuchet MS"/>
          <w:sz w:val="24"/>
          <w:szCs w:val="24"/>
        </w:rPr>
        <w:t>wesentlich</w:t>
      </w:r>
      <w:r w:rsidR="00393628">
        <w:rPr>
          <w:rFonts w:ascii="Trebuchet MS" w:hAnsi="Trebuchet MS"/>
          <w:sz w:val="24"/>
          <w:szCs w:val="24"/>
        </w:rPr>
        <w:t xml:space="preserve"> für die Motivation des Betreuers</w:t>
      </w:r>
      <w:r w:rsidR="00697E88">
        <w:rPr>
          <w:rFonts w:ascii="Trebuchet MS" w:hAnsi="Trebuchet MS"/>
          <w:sz w:val="24"/>
          <w:szCs w:val="24"/>
        </w:rPr>
        <w:t>, die sich ihrerseits auf die Qualität der Betreuung maßgeblich auswirkt</w:t>
      </w:r>
      <w:r w:rsidR="00393628">
        <w:rPr>
          <w:rFonts w:ascii="Trebuchet MS" w:hAnsi="Trebuchet MS"/>
          <w:sz w:val="24"/>
          <w:szCs w:val="24"/>
        </w:rPr>
        <w:t xml:space="preserve">. </w:t>
      </w:r>
      <w:r w:rsidR="00697E88">
        <w:rPr>
          <w:rFonts w:ascii="Trebuchet MS" w:hAnsi="Trebuchet MS"/>
          <w:sz w:val="24"/>
          <w:szCs w:val="24"/>
        </w:rPr>
        <w:t>Das heißt, dass</w:t>
      </w:r>
      <w:r w:rsidR="00393628">
        <w:rPr>
          <w:rFonts w:ascii="Trebuchet MS" w:hAnsi="Trebuchet MS"/>
          <w:sz w:val="24"/>
          <w:szCs w:val="24"/>
        </w:rPr>
        <w:t xml:space="preserve"> die Höhe der Vergütung – </w:t>
      </w:r>
      <w:r w:rsidR="00697E88">
        <w:rPr>
          <w:rFonts w:ascii="Trebuchet MS" w:hAnsi="Trebuchet MS"/>
          <w:sz w:val="24"/>
          <w:szCs w:val="24"/>
        </w:rPr>
        <w:t xml:space="preserve">gerade </w:t>
      </w:r>
      <w:r w:rsidR="00393628">
        <w:rPr>
          <w:rFonts w:ascii="Trebuchet MS" w:hAnsi="Trebuchet MS"/>
          <w:sz w:val="24"/>
          <w:szCs w:val="24"/>
        </w:rPr>
        <w:t>auch im Vergleich mit anderen Berufsfeldern – die Komplexitä</w:t>
      </w:r>
      <w:r w:rsidR="00E75478">
        <w:rPr>
          <w:rFonts w:ascii="Trebuchet MS" w:hAnsi="Trebuchet MS"/>
          <w:sz w:val="24"/>
          <w:szCs w:val="24"/>
        </w:rPr>
        <w:t>t und den Schwierigkeitsgrad wi</w:t>
      </w:r>
      <w:r w:rsidR="00393628">
        <w:rPr>
          <w:rFonts w:ascii="Trebuchet MS" w:hAnsi="Trebuchet MS"/>
          <w:sz w:val="24"/>
          <w:szCs w:val="24"/>
        </w:rPr>
        <w:t>derspiegeln</w:t>
      </w:r>
      <w:r w:rsidR="00697E88">
        <w:rPr>
          <w:rFonts w:ascii="Trebuchet MS" w:hAnsi="Trebuchet MS"/>
          <w:sz w:val="24"/>
          <w:szCs w:val="24"/>
        </w:rPr>
        <w:t xml:space="preserve"> muss</w:t>
      </w:r>
      <w:r w:rsidR="00393628">
        <w:rPr>
          <w:rFonts w:ascii="Trebuchet MS" w:hAnsi="Trebuchet MS"/>
          <w:sz w:val="24"/>
          <w:szCs w:val="24"/>
        </w:rPr>
        <w:t>, die mit der Tätigkeit verbunden ist</w:t>
      </w:r>
      <w:r>
        <w:rPr>
          <w:rFonts w:ascii="Trebuchet MS" w:hAnsi="Trebuchet MS"/>
          <w:sz w:val="24"/>
          <w:szCs w:val="24"/>
        </w:rPr>
        <w:t>.</w:t>
      </w:r>
      <w:r w:rsidR="00393628">
        <w:rPr>
          <w:rFonts w:ascii="Trebuchet MS" w:hAnsi="Trebuchet MS"/>
          <w:sz w:val="24"/>
          <w:szCs w:val="24"/>
        </w:rPr>
        <w:t xml:space="preserve"> </w:t>
      </w:r>
    </w:p>
    <w:p w:rsidR="00697E88" w:rsidRDefault="00E75478" w:rsidP="00D61B18">
      <w:pPr>
        <w:spacing w:after="120" w:line="360" w:lineRule="auto"/>
        <w:jc w:val="both"/>
        <w:rPr>
          <w:rFonts w:ascii="Trebuchet MS" w:hAnsi="Trebuchet MS"/>
          <w:sz w:val="24"/>
          <w:szCs w:val="24"/>
        </w:rPr>
      </w:pPr>
      <w:r>
        <w:rPr>
          <w:rFonts w:ascii="Trebuchet MS" w:hAnsi="Trebuchet MS"/>
          <w:sz w:val="24"/>
          <w:szCs w:val="24"/>
        </w:rPr>
        <w:t>Auch wenn mit</w:t>
      </w:r>
      <w:r w:rsidR="00FB0755">
        <w:rPr>
          <w:rFonts w:ascii="Trebuchet MS" w:hAnsi="Trebuchet MS"/>
          <w:sz w:val="24"/>
          <w:szCs w:val="24"/>
        </w:rPr>
        <w:t xml:space="preserve"> der Einführung des Fallpauschalsystems</w:t>
      </w:r>
      <w:r w:rsidR="004D3339">
        <w:rPr>
          <w:rFonts w:ascii="Trebuchet MS" w:hAnsi="Trebuchet MS"/>
          <w:sz w:val="24"/>
          <w:szCs w:val="24"/>
        </w:rPr>
        <w:t xml:space="preserve"> tatsächlich</w:t>
      </w:r>
      <w:r w:rsidR="00FB0755">
        <w:rPr>
          <w:rFonts w:ascii="Trebuchet MS" w:hAnsi="Trebuchet MS"/>
          <w:sz w:val="24"/>
          <w:szCs w:val="24"/>
        </w:rPr>
        <w:t xml:space="preserve"> – wie in der Entwurf</w:t>
      </w:r>
      <w:r>
        <w:rPr>
          <w:rFonts w:ascii="Trebuchet MS" w:hAnsi="Trebuchet MS"/>
          <w:sz w:val="24"/>
          <w:szCs w:val="24"/>
        </w:rPr>
        <w:t>sbegründung</w:t>
      </w:r>
      <w:r w:rsidR="00FB0755">
        <w:rPr>
          <w:rFonts w:ascii="Trebuchet MS" w:hAnsi="Trebuchet MS"/>
          <w:sz w:val="24"/>
          <w:szCs w:val="24"/>
        </w:rPr>
        <w:t xml:space="preserve"> </w:t>
      </w:r>
      <w:r>
        <w:rPr>
          <w:rFonts w:ascii="Trebuchet MS" w:hAnsi="Trebuchet MS"/>
          <w:sz w:val="24"/>
          <w:szCs w:val="24"/>
        </w:rPr>
        <w:t>ausgeführt</w:t>
      </w:r>
      <w:r w:rsidR="00FB0755">
        <w:rPr>
          <w:rFonts w:ascii="Trebuchet MS" w:hAnsi="Trebuchet MS"/>
          <w:sz w:val="24"/>
          <w:szCs w:val="24"/>
        </w:rPr>
        <w:t xml:space="preserve"> –</w:t>
      </w:r>
      <w:r w:rsidR="004D3339">
        <w:rPr>
          <w:rFonts w:ascii="Trebuchet MS" w:hAnsi="Trebuchet MS"/>
          <w:sz w:val="24"/>
          <w:szCs w:val="24"/>
        </w:rPr>
        <w:t xml:space="preserve"> </w:t>
      </w:r>
      <w:r w:rsidR="00FB0755">
        <w:rPr>
          <w:rFonts w:ascii="Trebuchet MS" w:hAnsi="Trebuchet MS"/>
          <w:sz w:val="24"/>
          <w:szCs w:val="24"/>
        </w:rPr>
        <w:t>mehr Möglichkeiten zugelassen werden,</w:t>
      </w:r>
      <w:r>
        <w:rPr>
          <w:rFonts w:ascii="Trebuchet MS" w:hAnsi="Trebuchet MS"/>
          <w:sz w:val="24"/>
          <w:szCs w:val="24"/>
        </w:rPr>
        <w:t xml:space="preserve"> etwaigen</w:t>
      </w:r>
      <w:r w:rsidR="00FB0755">
        <w:rPr>
          <w:rFonts w:ascii="Trebuchet MS" w:hAnsi="Trebuchet MS"/>
          <w:sz w:val="24"/>
          <w:szCs w:val="24"/>
        </w:rPr>
        <w:t xml:space="preserve"> besonderen Anforderungen innerhalb der Betreuungskonstellationen gerecht zu werden</w:t>
      </w:r>
      <w:r w:rsidR="004D3339">
        <w:rPr>
          <w:rFonts w:ascii="Trebuchet MS" w:hAnsi="Trebuchet MS"/>
          <w:sz w:val="24"/>
          <w:szCs w:val="24"/>
        </w:rPr>
        <w:t xml:space="preserve">, sind nach der jetzigen Formulierung nicht alle denkbaren </w:t>
      </w:r>
      <w:r w:rsidR="00FB0755">
        <w:rPr>
          <w:rFonts w:ascii="Trebuchet MS" w:hAnsi="Trebuchet MS"/>
          <w:sz w:val="24"/>
          <w:szCs w:val="24"/>
        </w:rPr>
        <w:t xml:space="preserve">„besonderen Anforderungen“ </w:t>
      </w:r>
      <w:r w:rsidR="004D3339">
        <w:rPr>
          <w:rFonts w:ascii="Trebuchet MS" w:hAnsi="Trebuchet MS"/>
          <w:sz w:val="24"/>
          <w:szCs w:val="24"/>
        </w:rPr>
        <w:t>erfasst. Das gilt vor allem</w:t>
      </w:r>
      <w:r w:rsidR="008C23D6">
        <w:rPr>
          <w:rFonts w:ascii="Trebuchet MS" w:hAnsi="Trebuchet MS"/>
          <w:sz w:val="24"/>
          <w:szCs w:val="24"/>
        </w:rPr>
        <w:t xml:space="preserve"> für komplexe sowie dauerhaft aufwendige Betreuungen (etwa bei Menschen mit schwersten und/oder mehrfachen </w:t>
      </w:r>
      <w:r w:rsidR="008C23D6">
        <w:rPr>
          <w:rFonts w:ascii="Trebuchet MS" w:hAnsi="Trebuchet MS"/>
          <w:sz w:val="24"/>
          <w:szCs w:val="24"/>
        </w:rPr>
        <w:lastRenderedPageBreak/>
        <w:t>Behinderungen oder auch bei Menschen mit sog. geistiger Behinderung)</w:t>
      </w:r>
      <w:r w:rsidR="004D3339">
        <w:rPr>
          <w:rFonts w:ascii="Trebuchet MS" w:hAnsi="Trebuchet MS"/>
          <w:sz w:val="24"/>
          <w:szCs w:val="24"/>
        </w:rPr>
        <w:t xml:space="preserve">. Die BAG SELBSTHILFE schlägt daher vor, auch für diese Fälle </w:t>
      </w:r>
      <w:r w:rsidR="00FB0755">
        <w:rPr>
          <w:rFonts w:ascii="Trebuchet MS" w:hAnsi="Trebuchet MS"/>
          <w:sz w:val="24"/>
          <w:szCs w:val="24"/>
        </w:rPr>
        <w:t>von vornherein</w:t>
      </w:r>
      <w:r w:rsidR="008C23D6">
        <w:rPr>
          <w:rFonts w:ascii="Trebuchet MS" w:hAnsi="Trebuchet MS"/>
          <w:sz w:val="24"/>
          <w:szCs w:val="24"/>
        </w:rPr>
        <w:t xml:space="preserve"> eine erhöhte Pauschale</w:t>
      </w:r>
      <w:r w:rsidR="00697E88">
        <w:rPr>
          <w:rFonts w:ascii="Trebuchet MS" w:hAnsi="Trebuchet MS"/>
          <w:sz w:val="24"/>
          <w:szCs w:val="24"/>
        </w:rPr>
        <w:t xml:space="preserve"> </w:t>
      </w:r>
      <w:r w:rsidR="008C23D6">
        <w:rPr>
          <w:rFonts w:ascii="Trebuchet MS" w:hAnsi="Trebuchet MS"/>
          <w:sz w:val="24"/>
          <w:szCs w:val="24"/>
        </w:rPr>
        <w:t xml:space="preserve">vorzusehen. Das </w:t>
      </w:r>
      <w:r w:rsidR="00FB0755">
        <w:rPr>
          <w:rFonts w:ascii="Trebuchet MS" w:hAnsi="Trebuchet MS"/>
          <w:sz w:val="24"/>
          <w:szCs w:val="24"/>
        </w:rPr>
        <w:t>sollte</w:t>
      </w:r>
      <w:r w:rsidR="008C23D6">
        <w:rPr>
          <w:rFonts w:ascii="Trebuchet MS" w:hAnsi="Trebuchet MS"/>
          <w:sz w:val="24"/>
          <w:szCs w:val="24"/>
        </w:rPr>
        <w:t xml:space="preserve"> auch für Fälle</w:t>
      </w:r>
      <w:r w:rsidR="00FB0755">
        <w:rPr>
          <w:rFonts w:ascii="Trebuchet MS" w:hAnsi="Trebuchet MS"/>
          <w:sz w:val="24"/>
          <w:szCs w:val="24"/>
        </w:rPr>
        <w:t xml:space="preserve"> gelten</w:t>
      </w:r>
      <w:r w:rsidR="008C23D6">
        <w:rPr>
          <w:rFonts w:ascii="Trebuchet MS" w:hAnsi="Trebuchet MS"/>
          <w:sz w:val="24"/>
          <w:szCs w:val="24"/>
        </w:rPr>
        <w:t xml:space="preserve">, in denen (ggf. zugleich) der mit der Betreuung verbundene Verwaltungs- oder sonstige Organisationsaufwand deutlich erhöht ist. </w:t>
      </w:r>
      <w:r w:rsidR="003E1C75">
        <w:rPr>
          <w:rFonts w:ascii="Trebuchet MS" w:hAnsi="Trebuchet MS"/>
          <w:sz w:val="24"/>
          <w:szCs w:val="24"/>
        </w:rPr>
        <w:t xml:space="preserve">Denkbar </w:t>
      </w:r>
      <w:r w:rsidR="004D3339">
        <w:rPr>
          <w:rFonts w:ascii="Trebuchet MS" w:hAnsi="Trebuchet MS"/>
          <w:sz w:val="24"/>
          <w:szCs w:val="24"/>
        </w:rPr>
        <w:t>wäre es</w:t>
      </w:r>
      <w:r w:rsidR="003E1C75">
        <w:rPr>
          <w:rFonts w:ascii="Trebuchet MS" w:hAnsi="Trebuchet MS"/>
          <w:sz w:val="24"/>
          <w:szCs w:val="24"/>
        </w:rPr>
        <w:t xml:space="preserve">, den Katalog in § 5a um diese Fälle entsprechend zu ergänzen.  </w:t>
      </w:r>
    </w:p>
    <w:p w:rsidR="003E1C75" w:rsidRDefault="003E1C75" w:rsidP="00D61B18">
      <w:pPr>
        <w:spacing w:after="120" w:line="360" w:lineRule="auto"/>
        <w:jc w:val="both"/>
        <w:rPr>
          <w:rFonts w:ascii="Trebuchet MS" w:hAnsi="Trebuchet MS"/>
          <w:b/>
          <w:sz w:val="24"/>
          <w:szCs w:val="24"/>
        </w:rPr>
      </w:pPr>
    </w:p>
    <w:p w:rsidR="00934801" w:rsidRPr="00354AFC" w:rsidRDefault="00D61B18" w:rsidP="00D61B18">
      <w:pPr>
        <w:spacing w:after="120" w:line="360" w:lineRule="auto"/>
        <w:jc w:val="both"/>
        <w:rPr>
          <w:rFonts w:ascii="Trebuchet MS" w:hAnsi="Trebuchet MS"/>
          <w:b/>
          <w:sz w:val="24"/>
          <w:szCs w:val="24"/>
        </w:rPr>
      </w:pPr>
      <w:r>
        <w:rPr>
          <w:rFonts w:ascii="Trebuchet MS" w:hAnsi="Trebuchet MS"/>
          <w:b/>
          <w:sz w:val="24"/>
          <w:szCs w:val="24"/>
        </w:rPr>
        <w:t xml:space="preserve">Art. 12 UN-BRK </w:t>
      </w:r>
      <w:r w:rsidR="004D3339">
        <w:rPr>
          <w:rFonts w:ascii="Trebuchet MS" w:hAnsi="Trebuchet MS"/>
          <w:b/>
          <w:sz w:val="24"/>
          <w:szCs w:val="24"/>
        </w:rPr>
        <w:t>-</w:t>
      </w:r>
      <w:r>
        <w:rPr>
          <w:rFonts w:ascii="Trebuchet MS" w:hAnsi="Trebuchet MS"/>
          <w:b/>
          <w:sz w:val="24"/>
          <w:szCs w:val="24"/>
        </w:rPr>
        <w:t xml:space="preserve"> </w:t>
      </w:r>
      <w:r w:rsidR="00B90A43">
        <w:rPr>
          <w:rFonts w:ascii="Trebuchet MS" w:hAnsi="Trebuchet MS"/>
          <w:b/>
          <w:sz w:val="24"/>
          <w:szCs w:val="24"/>
        </w:rPr>
        <w:t>Abschließende Bemerkung des UN-Fachausschusses über die Rechte von Menschen mit Behinderungen 2015</w:t>
      </w:r>
    </w:p>
    <w:p w:rsidR="00934801" w:rsidRDefault="00D61B18" w:rsidP="00D61B18">
      <w:pPr>
        <w:spacing w:after="120" w:line="360" w:lineRule="auto"/>
        <w:jc w:val="both"/>
        <w:rPr>
          <w:rFonts w:ascii="Trebuchet MS" w:hAnsi="Trebuchet MS"/>
          <w:sz w:val="24"/>
          <w:szCs w:val="24"/>
        </w:rPr>
      </w:pPr>
      <w:r>
        <w:rPr>
          <w:rFonts w:ascii="Trebuchet MS" w:hAnsi="Trebuchet MS"/>
          <w:sz w:val="24"/>
          <w:szCs w:val="24"/>
        </w:rPr>
        <w:t xml:space="preserve">Nach Auffassung der BAG SELBSTHILFE ist die Vergütungsproblematik jedoch nicht allein auf die Qualifizierungsanforderungen an einen </w:t>
      </w:r>
      <w:r w:rsidR="00B90A43">
        <w:rPr>
          <w:rFonts w:ascii="Trebuchet MS" w:hAnsi="Trebuchet MS"/>
          <w:sz w:val="24"/>
          <w:szCs w:val="24"/>
        </w:rPr>
        <w:t>(</w:t>
      </w:r>
      <w:r>
        <w:rPr>
          <w:rFonts w:ascii="Trebuchet MS" w:hAnsi="Trebuchet MS"/>
          <w:sz w:val="24"/>
          <w:szCs w:val="24"/>
        </w:rPr>
        <w:t>Berufs</w:t>
      </w:r>
      <w:r w:rsidR="00B90A43">
        <w:rPr>
          <w:rFonts w:ascii="Trebuchet MS" w:hAnsi="Trebuchet MS"/>
          <w:sz w:val="24"/>
          <w:szCs w:val="24"/>
        </w:rPr>
        <w:t>-)B</w:t>
      </w:r>
      <w:r>
        <w:rPr>
          <w:rFonts w:ascii="Trebuchet MS" w:hAnsi="Trebuchet MS"/>
          <w:sz w:val="24"/>
          <w:szCs w:val="24"/>
        </w:rPr>
        <w:t>etreuer beschränkt. Wir teilen die Auffassung unserer Mitgliedsorganisation</w:t>
      </w:r>
      <w:r w:rsidR="00A15E0B">
        <w:rPr>
          <w:rFonts w:ascii="Trebuchet MS" w:hAnsi="Trebuchet MS"/>
          <w:sz w:val="24"/>
          <w:szCs w:val="24"/>
        </w:rPr>
        <w:t xml:space="preserve"> </w:t>
      </w:r>
      <w:r>
        <w:rPr>
          <w:rFonts w:ascii="Trebuchet MS" w:hAnsi="Trebuchet MS"/>
          <w:sz w:val="24"/>
          <w:szCs w:val="24"/>
        </w:rPr>
        <w:t xml:space="preserve">Bundesarbeitsgemeinschaft Psychiatrie-Erfahrener e.V. (BPE), dass die Frage der Vergütung letztlich in die Diskussion eingebettet sein muss, was eine </w:t>
      </w:r>
      <w:r w:rsidR="00B90A43">
        <w:rPr>
          <w:rFonts w:ascii="Trebuchet MS" w:hAnsi="Trebuchet MS"/>
          <w:sz w:val="24"/>
          <w:szCs w:val="24"/>
        </w:rPr>
        <w:t xml:space="preserve">Betreuung überhaupt ausmacht. Und insoweit ist für die Behindertenverbände die UN-Behindertenrechtskonvention (UN-BRK) maßgeblich, die in Artikel 12 das Recht beinhaltet, dass Menschen mit Behinderungen in allen Lebensbereichen gleichberechtigt mit anderen Rechts- und Handlungsfähigkeit genießen. Das bedeutet wiederum, dass das im deutschen Recht nach wie vor bestehende Prinzip der ersetzenden Entscheidung </w:t>
      </w:r>
      <w:r w:rsidR="009D24CF">
        <w:rPr>
          <w:rFonts w:ascii="Trebuchet MS" w:hAnsi="Trebuchet MS"/>
          <w:sz w:val="24"/>
          <w:szCs w:val="24"/>
        </w:rPr>
        <w:t>aufzugeben und ein System der unterstützten Entscheidung einzurichten ist, so wie es auch der UN-Fachausschuss über die Rechte von Menschen mit Behinderungen in seinen Abschließenden Bemerkungen im Jahr 2015 gefordert hat. Ziel muss es sein, dass das Selbstbestimmungsrecht des Betreuten im Zentrum der Betrachtung steht und nicht mehr die fremdbestimmte Stellvertretung.</w:t>
      </w:r>
      <w:r w:rsidR="00846073">
        <w:rPr>
          <w:rFonts w:ascii="Trebuchet MS" w:hAnsi="Trebuchet MS"/>
          <w:sz w:val="24"/>
          <w:szCs w:val="24"/>
        </w:rPr>
        <w:t xml:space="preserve"> Wird dieses Prinzip in der Praxis umgesetzt, wird sich dies </w:t>
      </w:r>
      <w:r w:rsidR="00A15E0B">
        <w:rPr>
          <w:rFonts w:ascii="Trebuchet MS" w:hAnsi="Trebuchet MS"/>
          <w:sz w:val="24"/>
          <w:szCs w:val="24"/>
        </w:rPr>
        <w:t xml:space="preserve">zwangsläufig </w:t>
      </w:r>
      <w:r w:rsidR="00846073">
        <w:rPr>
          <w:rFonts w:ascii="Trebuchet MS" w:hAnsi="Trebuchet MS"/>
          <w:sz w:val="24"/>
          <w:szCs w:val="24"/>
        </w:rPr>
        <w:t>auch auf die Voraussetzungen für die Vergütungsstaffelung bzw. auf die Vergütungskriterie</w:t>
      </w:r>
      <w:r w:rsidR="00A15E0B">
        <w:rPr>
          <w:rFonts w:ascii="Trebuchet MS" w:hAnsi="Trebuchet MS"/>
          <w:sz w:val="24"/>
          <w:szCs w:val="24"/>
        </w:rPr>
        <w:t>n auswirken, da sich dann auch die Rahmenbedingungen und die Qualitätsvoraussetzungen entsprechend ändern.</w:t>
      </w:r>
      <w:r w:rsidR="003E1C75">
        <w:rPr>
          <w:rFonts w:ascii="Trebuchet MS" w:hAnsi="Trebuchet MS"/>
          <w:sz w:val="24"/>
          <w:szCs w:val="24"/>
        </w:rPr>
        <w:t xml:space="preserve"> </w:t>
      </w:r>
    </w:p>
    <w:p w:rsidR="00934801" w:rsidRDefault="00934801" w:rsidP="00D61B18">
      <w:pPr>
        <w:spacing w:after="120" w:line="360" w:lineRule="auto"/>
        <w:jc w:val="both"/>
        <w:rPr>
          <w:rFonts w:ascii="Trebuchet MS" w:hAnsi="Trebuchet MS"/>
          <w:i/>
          <w:sz w:val="24"/>
          <w:szCs w:val="24"/>
        </w:rPr>
      </w:pPr>
    </w:p>
    <w:p w:rsidR="00934801" w:rsidRDefault="00934801" w:rsidP="00D61B18">
      <w:pPr>
        <w:spacing w:after="120" w:line="360" w:lineRule="auto"/>
        <w:jc w:val="both"/>
        <w:rPr>
          <w:rFonts w:ascii="Trebuchet MS" w:hAnsi="Trebuchet MS"/>
          <w:i/>
          <w:sz w:val="24"/>
          <w:szCs w:val="24"/>
        </w:rPr>
      </w:pPr>
    </w:p>
    <w:p w:rsidR="00934801" w:rsidRPr="00200F2C" w:rsidRDefault="00D61B18" w:rsidP="003E1C75">
      <w:pPr>
        <w:spacing w:after="120" w:line="360" w:lineRule="auto"/>
        <w:ind w:left="5664" w:firstLine="708"/>
        <w:jc w:val="right"/>
        <w:rPr>
          <w:rFonts w:ascii="Trebuchet MS" w:hAnsi="Trebuchet MS"/>
          <w:i/>
          <w:sz w:val="24"/>
          <w:szCs w:val="24"/>
        </w:rPr>
      </w:pPr>
      <w:r>
        <w:rPr>
          <w:rFonts w:ascii="Trebuchet MS" w:hAnsi="Trebuchet MS"/>
          <w:i/>
          <w:sz w:val="24"/>
          <w:szCs w:val="24"/>
        </w:rPr>
        <w:t xml:space="preserve">Düsseldorf, </w:t>
      </w:r>
      <w:r w:rsidR="00934801" w:rsidRPr="00200F2C">
        <w:rPr>
          <w:rFonts w:ascii="Trebuchet MS" w:hAnsi="Trebuchet MS"/>
          <w:i/>
          <w:sz w:val="24"/>
          <w:szCs w:val="24"/>
        </w:rPr>
        <w:t>0</w:t>
      </w:r>
      <w:r>
        <w:rPr>
          <w:rFonts w:ascii="Trebuchet MS" w:hAnsi="Trebuchet MS"/>
          <w:i/>
          <w:sz w:val="24"/>
          <w:szCs w:val="24"/>
        </w:rPr>
        <w:t>7.02</w:t>
      </w:r>
      <w:r w:rsidR="00934801" w:rsidRPr="00200F2C">
        <w:rPr>
          <w:rFonts w:ascii="Trebuchet MS" w:hAnsi="Trebuchet MS"/>
          <w:i/>
          <w:sz w:val="24"/>
          <w:szCs w:val="24"/>
        </w:rPr>
        <w:t>.20</w:t>
      </w:r>
      <w:r>
        <w:rPr>
          <w:rFonts w:ascii="Trebuchet MS" w:hAnsi="Trebuchet MS"/>
          <w:i/>
          <w:sz w:val="24"/>
          <w:szCs w:val="24"/>
        </w:rPr>
        <w:t>19</w:t>
      </w:r>
    </w:p>
    <w:sectPr w:rsidR="00934801" w:rsidRPr="00200F2C" w:rsidSect="005603DC">
      <w:footerReference w:type="default" r:id="rId8"/>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9A" w:rsidRDefault="00B2579A" w:rsidP="003E1C75">
      <w:r>
        <w:separator/>
      </w:r>
    </w:p>
  </w:endnote>
  <w:endnote w:type="continuationSeparator" w:id="0">
    <w:p w:rsidR="00B2579A" w:rsidRDefault="00B2579A" w:rsidP="003E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346542"/>
      <w:docPartObj>
        <w:docPartGallery w:val="Page Numbers (Bottom of Page)"/>
        <w:docPartUnique/>
      </w:docPartObj>
    </w:sdtPr>
    <w:sdtEndPr/>
    <w:sdtContent>
      <w:p w:rsidR="003E1C75" w:rsidRDefault="003E1C75">
        <w:pPr>
          <w:pStyle w:val="Fuzeile"/>
          <w:jc w:val="center"/>
        </w:pPr>
        <w:r>
          <w:fldChar w:fldCharType="begin"/>
        </w:r>
        <w:r>
          <w:instrText>PAGE   \* MERGEFORMAT</w:instrText>
        </w:r>
        <w:r>
          <w:fldChar w:fldCharType="separate"/>
        </w:r>
        <w:r w:rsidR="00A66F14">
          <w:rPr>
            <w:noProof/>
          </w:rPr>
          <w:t>2</w:t>
        </w:r>
        <w:r>
          <w:fldChar w:fldCharType="end"/>
        </w:r>
      </w:p>
    </w:sdtContent>
  </w:sdt>
  <w:p w:rsidR="003E1C75" w:rsidRDefault="003E1C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9A" w:rsidRDefault="00B2579A" w:rsidP="003E1C75">
      <w:r>
        <w:separator/>
      </w:r>
    </w:p>
  </w:footnote>
  <w:footnote w:type="continuationSeparator" w:id="0">
    <w:p w:rsidR="00B2579A" w:rsidRDefault="00B2579A" w:rsidP="003E1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01"/>
    <w:rsid w:val="000A5A6B"/>
    <w:rsid w:val="00393628"/>
    <w:rsid w:val="003E1C75"/>
    <w:rsid w:val="00472F1F"/>
    <w:rsid w:val="004C1A80"/>
    <w:rsid w:val="004D3339"/>
    <w:rsid w:val="005603DC"/>
    <w:rsid w:val="0066533B"/>
    <w:rsid w:val="00697E88"/>
    <w:rsid w:val="00737746"/>
    <w:rsid w:val="00746F3B"/>
    <w:rsid w:val="007C7BE6"/>
    <w:rsid w:val="00846073"/>
    <w:rsid w:val="008B0716"/>
    <w:rsid w:val="008C23D6"/>
    <w:rsid w:val="00934801"/>
    <w:rsid w:val="009D24CF"/>
    <w:rsid w:val="00A15E0B"/>
    <w:rsid w:val="00A66F14"/>
    <w:rsid w:val="00AB2735"/>
    <w:rsid w:val="00B2579A"/>
    <w:rsid w:val="00B90A43"/>
    <w:rsid w:val="00D61B18"/>
    <w:rsid w:val="00E75478"/>
    <w:rsid w:val="00FB0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801"/>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4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4801"/>
    <w:rPr>
      <w:rFonts w:ascii="Tahoma" w:eastAsia="Calibri" w:hAnsi="Tahoma" w:cs="Tahoma"/>
      <w:sz w:val="16"/>
      <w:szCs w:val="16"/>
    </w:rPr>
  </w:style>
  <w:style w:type="paragraph" w:styleId="Kopfzeile">
    <w:name w:val="header"/>
    <w:basedOn w:val="Standard"/>
    <w:link w:val="KopfzeileZchn"/>
    <w:uiPriority w:val="99"/>
    <w:unhideWhenUsed/>
    <w:rsid w:val="003E1C75"/>
    <w:pPr>
      <w:tabs>
        <w:tab w:val="center" w:pos="4536"/>
        <w:tab w:val="right" w:pos="9072"/>
      </w:tabs>
    </w:pPr>
  </w:style>
  <w:style w:type="character" w:customStyle="1" w:styleId="KopfzeileZchn">
    <w:name w:val="Kopfzeile Zchn"/>
    <w:basedOn w:val="Absatz-Standardschriftart"/>
    <w:link w:val="Kopfzeile"/>
    <w:uiPriority w:val="99"/>
    <w:rsid w:val="003E1C75"/>
    <w:rPr>
      <w:rFonts w:ascii="Calibri" w:eastAsia="Calibri" w:hAnsi="Calibri" w:cs="Times New Roman"/>
    </w:rPr>
  </w:style>
  <w:style w:type="paragraph" w:styleId="Fuzeile">
    <w:name w:val="footer"/>
    <w:basedOn w:val="Standard"/>
    <w:link w:val="FuzeileZchn"/>
    <w:uiPriority w:val="99"/>
    <w:unhideWhenUsed/>
    <w:rsid w:val="003E1C75"/>
    <w:pPr>
      <w:tabs>
        <w:tab w:val="center" w:pos="4536"/>
        <w:tab w:val="right" w:pos="9072"/>
      </w:tabs>
    </w:pPr>
  </w:style>
  <w:style w:type="character" w:customStyle="1" w:styleId="FuzeileZchn">
    <w:name w:val="Fußzeile Zchn"/>
    <w:basedOn w:val="Absatz-Standardschriftart"/>
    <w:link w:val="Fuzeile"/>
    <w:uiPriority w:val="99"/>
    <w:rsid w:val="003E1C7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801"/>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4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4801"/>
    <w:rPr>
      <w:rFonts w:ascii="Tahoma" w:eastAsia="Calibri" w:hAnsi="Tahoma" w:cs="Tahoma"/>
      <w:sz w:val="16"/>
      <w:szCs w:val="16"/>
    </w:rPr>
  </w:style>
  <w:style w:type="paragraph" w:styleId="Kopfzeile">
    <w:name w:val="header"/>
    <w:basedOn w:val="Standard"/>
    <w:link w:val="KopfzeileZchn"/>
    <w:uiPriority w:val="99"/>
    <w:unhideWhenUsed/>
    <w:rsid w:val="003E1C75"/>
    <w:pPr>
      <w:tabs>
        <w:tab w:val="center" w:pos="4536"/>
        <w:tab w:val="right" w:pos="9072"/>
      </w:tabs>
    </w:pPr>
  </w:style>
  <w:style w:type="character" w:customStyle="1" w:styleId="KopfzeileZchn">
    <w:name w:val="Kopfzeile Zchn"/>
    <w:basedOn w:val="Absatz-Standardschriftart"/>
    <w:link w:val="Kopfzeile"/>
    <w:uiPriority w:val="99"/>
    <w:rsid w:val="003E1C75"/>
    <w:rPr>
      <w:rFonts w:ascii="Calibri" w:eastAsia="Calibri" w:hAnsi="Calibri" w:cs="Times New Roman"/>
    </w:rPr>
  </w:style>
  <w:style w:type="paragraph" w:styleId="Fuzeile">
    <w:name w:val="footer"/>
    <w:basedOn w:val="Standard"/>
    <w:link w:val="FuzeileZchn"/>
    <w:uiPriority w:val="99"/>
    <w:unhideWhenUsed/>
    <w:rsid w:val="003E1C75"/>
    <w:pPr>
      <w:tabs>
        <w:tab w:val="center" w:pos="4536"/>
        <w:tab w:val="right" w:pos="9072"/>
      </w:tabs>
    </w:pPr>
  </w:style>
  <w:style w:type="character" w:customStyle="1" w:styleId="FuzeileZchn">
    <w:name w:val="Fußzeile Zchn"/>
    <w:basedOn w:val="Absatz-Standardschriftart"/>
    <w:link w:val="Fuzeile"/>
    <w:uiPriority w:val="99"/>
    <w:rsid w:val="003E1C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Holger Borner</cp:lastModifiedBy>
  <cp:revision>3</cp:revision>
  <cp:lastPrinted>2019-02-07T08:30:00Z</cp:lastPrinted>
  <dcterms:created xsi:type="dcterms:W3CDTF">2019-02-06T09:00:00Z</dcterms:created>
  <dcterms:modified xsi:type="dcterms:W3CDTF">2019-02-07T08:36:00Z</dcterms:modified>
</cp:coreProperties>
</file>