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5C3621" w:rsidTr="008E792B">
        <w:trPr>
          <w:trHeight w:val="2153"/>
        </w:trPr>
        <w:tc>
          <w:tcPr>
            <w:tcW w:w="5229" w:type="dxa"/>
          </w:tcPr>
          <w:p w:rsidR="005C3621" w:rsidRDefault="005C3621" w:rsidP="0034437B">
            <w:pPr>
              <w:jc w:val="both"/>
              <w:rPr>
                <w:rFonts w:ascii="Trebuchet MS" w:hAnsi="Trebuchet MS"/>
              </w:rPr>
            </w:pPr>
            <w:r>
              <w:rPr>
                <w:rFonts w:ascii="Trebuchet MS" w:hAnsi="Trebuchet MS"/>
                <w:noProof/>
              </w:rPr>
              <w:drawing>
                <wp:inline distT="0" distB="0" distL="0" distR="0" wp14:anchorId="3DAD435B" wp14:editId="3AFDDEC3">
                  <wp:extent cx="1545772" cy="1141969"/>
                  <wp:effectExtent l="0" t="0" r="0" b="127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918" cy="1143555"/>
                          </a:xfrm>
                          <a:prstGeom prst="rect">
                            <a:avLst/>
                          </a:prstGeom>
                          <a:noFill/>
                          <a:ln>
                            <a:noFill/>
                          </a:ln>
                        </pic:spPr>
                      </pic:pic>
                    </a:graphicData>
                  </a:graphic>
                </wp:inline>
              </w:drawing>
            </w:r>
          </w:p>
          <w:p w:rsidR="005C3621" w:rsidRDefault="005C3621" w:rsidP="0034437B">
            <w:pPr>
              <w:jc w:val="both"/>
              <w:rPr>
                <w:rFonts w:ascii="Trebuchet MS" w:hAnsi="Trebuchet MS"/>
              </w:rPr>
            </w:pPr>
          </w:p>
        </w:tc>
        <w:tc>
          <w:tcPr>
            <w:tcW w:w="6211" w:type="dxa"/>
          </w:tcPr>
          <w:p w:rsidR="005C3621" w:rsidRDefault="005C3621" w:rsidP="0034437B">
            <w:pPr>
              <w:jc w:val="both"/>
              <w:rPr>
                <w:rFonts w:ascii="Trebuchet MS" w:hAnsi="Trebuchet MS"/>
              </w:rPr>
            </w:pPr>
            <w:r>
              <w:rPr>
                <w:rFonts w:ascii="Trebuchet MS" w:hAnsi="Trebuchet MS"/>
              </w:rPr>
              <w:t>Bundesarbeitsgemeinschaft Selbsthilfe von</w:t>
            </w:r>
          </w:p>
          <w:p w:rsidR="005C3621" w:rsidRDefault="005C3621" w:rsidP="0034437B">
            <w:pPr>
              <w:jc w:val="both"/>
              <w:rPr>
                <w:rFonts w:ascii="Trebuchet MS" w:hAnsi="Trebuchet MS"/>
              </w:rPr>
            </w:pPr>
            <w:r>
              <w:rPr>
                <w:rFonts w:ascii="Trebuchet MS" w:hAnsi="Trebuchet MS"/>
              </w:rPr>
              <w:t xml:space="preserve">Menschen mit Behinderung und chronischer </w:t>
            </w:r>
          </w:p>
          <w:p w:rsidR="005C3621" w:rsidRDefault="005C3621" w:rsidP="0034437B">
            <w:pPr>
              <w:jc w:val="both"/>
              <w:rPr>
                <w:rFonts w:ascii="Trebuchet MS" w:hAnsi="Trebuchet MS"/>
              </w:rPr>
            </w:pPr>
            <w:r>
              <w:rPr>
                <w:rFonts w:ascii="Trebuchet MS" w:hAnsi="Trebuchet MS"/>
              </w:rPr>
              <w:t xml:space="preserve">Erkrankung und ihren Angehörigen e.V. </w:t>
            </w:r>
          </w:p>
          <w:p w:rsidR="005C3621" w:rsidRDefault="005C3621" w:rsidP="0034437B">
            <w:pPr>
              <w:jc w:val="both"/>
              <w:rPr>
                <w:rFonts w:ascii="Trebuchet MS" w:hAnsi="Trebuchet MS"/>
              </w:rPr>
            </w:pPr>
            <w:r>
              <w:rPr>
                <w:rFonts w:ascii="Trebuchet MS" w:hAnsi="Trebuchet MS"/>
              </w:rPr>
              <w:t xml:space="preserve">BAG SELBSTHILFE </w:t>
            </w:r>
          </w:p>
          <w:p w:rsidR="005C3621" w:rsidRDefault="005C3621" w:rsidP="0034437B">
            <w:pPr>
              <w:jc w:val="both"/>
              <w:rPr>
                <w:rFonts w:ascii="Trebuchet MS" w:hAnsi="Trebuchet MS"/>
              </w:rPr>
            </w:pPr>
            <w:r>
              <w:rPr>
                <w:rFonts w:ascii="Trebuchet MS" w:hAnsi="Trebuchet MS"/>
              </w:rPr>
              <w:t>Kirchfeldstr. 149</w:t>
            </w:r>
          </w:p>
          <w:p w:rsidR="005C3621" w:rsidRDefault="005C3621" w:rsidP="0034437B">
            <w:pPr>
              <w:jc w:val="both"/>
              <w:rPr>
                <w:rFonts w:ascii="Trebuchet MS" w:hAnsi="Trebuchet MS"/>
              </w:rPr>
            </w:pPr>
            <w:r>
              <w:rPr>
                <w:rFonts w:ascii="Trebuchet MS" w:hAnsi="Trebuchet MS"/>
              </w:rPr>
              <w:t>40215 Düsseldorf</w:t>
            </w:r>
          </w:p>
          <w:p w:rsidR="005C3621" w:rsidRDefault="005C3621" w:rsidP="0034437B">
            <w:pPr>
              <w:jc w:val="both"/>
              <w:rPr>
                <w:rFonts w:ascii="Trebuchet MS" w:hAnsi="Trebuchet MS"/>
              </w:rPr>
            </w:pPr>
            <w:r>
              <w:rPr>
                <w:rFonts w:ascii="Trebuchet MS" w:hAnsi="Trebuchet MS"/>
              </w:rPr>
              <w:t>Tel. 0211/31006-0</w:t>
            </w:r>
          </w:p>
          <w:p w:rsidR="005C3621" w:rsidRDefault="005C3621" w:rsidP="0034437B">
            <w:pPr>
              <w:jc w:val="both"/>
              <w:rPr>
                <w:rFonts w:ascii="Trebuchet MS" w:hAnsi="Trebuchet MS"/>
              </w:rPr>
            </w:pPr>
            <w:r>
              <w:rPr>
                <w:rFonts w:ascii="Trebuchet MS" w:hAnsi="Trebuchet MS"/>
              </w:rPr>
              <w:t>Fax. 0211/31006-48</w:t>
            </w:r>
          </w:p>
        </w:tc>
      </w:tr>
    </w:tbl>
    <w:p w:rsidR="005C3621" w:rsidRPr="00E214D3" w:rsidRDefault="005C3621" w:rsidP="005C3621">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36334968" wp14:editId="6893F4B1">
                <wp:simplePos x="0" y="0"/>
                <wp:positionH relativeFrom="column">
                  <wp:posOffset>-118745</wp:posOffset>
                </wp:positionH>
                <wp:positionV relativeFrom="paragraph">
                  <wp:posOffset>58420</wp:posOffset>
                </wp:positionV>
                <wp:extent cx="6768465" cy="0"/>
                <wp:effectExtent l="14605" t="20320" r="1778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74B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5C3621" w:rsidRDefault="005C3621" w:rsidP="005C3621"/>
    <w:p w:rsidR="005C3621" w:rsidRDefault="005C3621" w:rsidP="005C3621"/>
    <w:p w:rsidR="008E792B" w:rsidRDefault="008E792B" w:rsidP="005C3621"/>
    <w:p w:rsidR="008E792B" w:rsidRDefault="008E792B" w:rsidP="005C3621"/>
    <w:p w:rsidR="008E792B" w:rsidRDefault="008E792B" w:rsidP="005C3621"/>
    <w:p w:rsidR="008E792B" w:rsidRDefault="008E792B" w:rsidP="005C3621"/>
    <w:p w:rsidR="008E792B" w:rsidRDefault="008E792B" w:rsidP="005C3621"/>
    <w:p w:rsidR="005C3621" w:rsidRPr="00E333BE" w:rsidRDefault="005C3621" w:rsidP="005C3621">
      <w:pPr>
        <w:jc w:val="center"/>
        <w:rPr>
          <w:rFonts w:ascii="Trebuchet MS" w:hAnsi="Trebuchet MS"/>
          <w:b/>
          <w:sz w:val="36"/>
          <w:szCs w:val="36"/>
        </w:rPr>
      </w:pPr>
      <w:r w:rsidRPr="00E333BE">
        <w:rPr>
          <w:rFonts w:ascii="Trebuchet MS" w:hAnsi="Trebuchet MS"/>
          <w:b/>
          <w:sz w:val="36"/>
          <w:szCs w:val="36"/>
        </w:rPr>
        <w:t>Stellungnahme der</w:t>
      </w:r>
    </w:p>
    <w:p w:rsidR="005C3621" w:rsidRPr="00E333BE" w:rsidRDefault="005C3621" w:rsidP="005C3621">
      <w:pPr>
        <w:jc w:val="center"/>
        <w:rPr>
          <w:rFonts w:ascii="Trebuchet MS" w:hAnsi="Trebuchet MS"/>
          <w:b/>
          <w:sz w:val="36"/>
          <w:szCs w:val="36"/>
        </w:rPr>
      </w:pPr>
    </w:p>
    <w:p w:rsidR="005C3621" w:rsidRPr="00E333BE" w:rsidRDefault="005C3621" w:rsidP="005C3621">
      <w:pPr>
        <w:jc w:val="center"/>
        <w:rPr>
          <w:rFonts w:ascii="Trebuchet MS" w:hAnsi="Trebuchet MS"/>
          <w:b/>
          <w:sz w:val="36"/>
          <w:szCs w:val="36"/>
        </w:rPr>
      </w:pPr>
    </w:p>
    <w:p w:rsidR="005C3621" w:rsidRDefault="005C3621" w:rsidP="005C3621">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5C3621" w:rsidRDefault="005C3621" w:rsidP="005C3621">
      <w:pPr>
        <w:jc w:val="center"/>
        <w:rPr>
          <w:rFonts w:ascii="Trebuchet MS" w:hAnsi="Trebuchet MS"/>
          <w:b/>
          <w:sz w:val="36"/>
          <w:szCs w:val="36"/>
        </w:rPr>
      </w:pPr>
      <w:r w:rsidRPr="00E333BE">
        <w:rPr>
          <w:rFonts w:ascii="Trebuchet MS" w:hAnsi="Trebuchet MS"/>
          <w:b/>
          <w:sz w:val="36"/>
          <w:szCs w:val="36"/>
        </w:rPr>
        <w:t>von Men</w:t>
      </w:r>
      <w:r>
        <w:rPr>
          <w:rFonts w:ascii="Trebuchet MS" w:hAnsi="Trebuchet MS"/>
          <w:b/>
          <w:sz w:val="36"/>
          <w:szCs w:val="36"/>
        </w:rPr>
        <w:t xml:space="preserve">schen mit Behinderung, </w:t>
      </w:r>
    </w:p>
    <w:p w:rsidR="005C3621" w:rsidRDefault="005C3621" w:rsidP="005C3621">
      <w:pPr>
        <w:jc w:val="center"/>
        <w:rPr>
          <w:rFonts w:ascii="Trebuchet MS" w:hAnsi="Trebuchet MS"/>
          <w:b/>
          <w:sz w:val="36"/>
          <w:szCs w:val="36"/>
        </w:rPr>
      </w:pPr>
      <w:r w:rsidRPr="00E333BE">
        <w:rPr>
          <w:rFonts w:ascii="Trebuchet MS" w:hAnsi="Trebuchet MS"/>
          <w:b/>
          <w:sz w:val="36"/>
          <w:szCs w:val="36"/>
        </w:rPr>
        <w:t>ch</w:t>
      </w:r>
      <w:r>
        <w:rPr>
          <w:rFonts w:ascii="Trebuchet MS" w:hAnsi="Trebuchet MS"/>
          <w:b/>
          <w:sz w:val="36"/>
          <w:szCs w:val="36"/>
        </w:rPr>
        <w:t xml:space="preserve">ronischer Erkrankung und ihren </w:t>
      </w:r>
      <w:r w:rsidRPr="00E333BE">
        <w:rPr>
          <w:rFonts w:ascii="Trebuchet MS" w:hAnsi="Trebuchet MS"/>
          <w:b/>
          <w:sz w:val="36"/>
          <w:szCs w:val="36"/>
        </w:rPr>
        <w:t>Angehöri</w:t>
      </w:r>
      <w:r>
        <w:rPr>
          <w:rFonts w:ascii="Trebuchet MS" w:hAnsi="Trebuchet MS"/>
          <w:b/>
          <w:sz w:val="36"/>
          <w:szCs w:val="36"/>
        </w:rPr>
        <w:t xml:space="preserve">gen e.V. </w:t>
      </w:r>
    </w:p>
    <w:p w:rsidR="005C3621" w:rsidRDefault="005C3621" w:rsidP="005C3621">
      <w:pPr>
        <w:jc w:val="center"/>
        <w:rPr>
          <w:rFonts w:ascii="Trebuchet MS" w:hAnsi="Trebuchet MS"/>
          <w:b/>
          <w:sz w:val="36"/>
          <w:szCs w:val="36"/>
        </w:rPr>
      </w:pPr>
      <w:r>
        <w:rPr>
          <w:rFonts w:ascii="Trebuchet MS" w:hAnsi="Trebuchet MS"/>
          <w:b/>
          <w:sz w:val="36"/>
          <w:szCs w:val="36"/>
        </w:rPr>
        <w:t xml:space="preserve">(BAG SELBSTHILFE) </w:t>
      </w:r>
    </w:p>
    <w:p w:rsidR="00BD45B5" w:rsidRPr="00E333BE" w:rsidRDefault="00BD45B5" w:rsidP="005C3621">
      <w:pPr>
        <w:jc w:val="center"/>
        <w:rPr>
          <w:rFonts w:ascii="Trebuchet MS" w:hAnsi="Trebuchet MS"/>
          <w:b/>
          <w:sz w:val="36"/>
          <w:szCs w:val="36"/>
        </w:rPr>
      </w:pPr>
    </w:p>
    <w:p w:rsidR="005C3621" w:rsidRDefault="005C3621" w:rsidP="005C3621">
      <w:pPr>
        <w:jc w:val="center"/>
        <w:rPr>
          <w:rFonts w:ascii="Trebuchet MS" w:hAnsi="Trebuchet MS"/>
          <w:b/>
          <w:sz w:val="36"/>
          <w:szCs w:val="36"/>
        </w:rPr>
      </w:pPr>
      <w:r>
        <w:rPr>
          <w:rFonts w:ascii="Trebuchet MS" w:hAnsi="Trebuchet MS"/>
          <w:b/>
          <w:sz w:val="36"/>
          <w:szCs w:val="36"/>
        </w:rPr>
        <w:t>z</w:t>
      </w:r>
      <w:r w:rsidRPr="00E333BE">
        <w:rPr>
          <w:rFonts w:ascii="Trebuchet MS" w:hAnsi="Trebuchet MS"/>
          <w:b/>
          <w:sz w:val="36"/>
          <w:szCs w:val="36"/>
        </w:rPr>
        <w:t xml:space="preserve">um </w:t>
      </w:r>
    </w:p>
    <w:p w:rsidR="005C3621" w:rsidRDefault="005C3621" w:rsidP="005C3621">
      <w:pPr>
        <w:jc w:val="center"/>
        <w:rPr>
          <w:rFonts w:ascii="Trebuchet MS" w:hAnsi="Trebuchet MS"/>
          <w:b/>
          <w:sz w:val="36"/>
          <w:szCs w:val="36"/>
        </w:rPr>
      </w:pPr>
    </w:p>
    <w:p w:rsidR="005C3621" w:rsidRPr="00D44FFE" w:rsidRDefault="00A2077F" w:rsidP="00A2077F">
      <w:pPr>
        <w:spacing w:line="360" w:lineRule="auto"/>
        <w:jc w:val="center"/>
        <w:rPr>
          <w:rFonts w:ascii="Trebuchet MS" w:hAnsi="Trebuchet MS"/>
          <w:b/>
          <w:sz w:val="36"/>
          <w:szCs w:val="36"/>
        </w:rPr>
      </w:pPr>
      <w:r>
        <w:rPr>
          <w:rFonts w:ascii="Trebuchet MS" w:hAnsi="Trebuchet MS"/>
          <w:b/>
          <w:sz w:val="36"/>
          <w:szCs w:val="36"/>
        </w:rPr>
        <w:t>Entwurf eine</w:t>
      </w:r>
      <w:r w:rsidR="00A1198C">
        <w:rPr>
          <w:rFonts w:ascii="Trebuchet MS" w:hAnsi="Trebuchet MS"/>
          <w:b/>
          <w:sz w:val="36"/>
          <w:szCs w:val="36"/>
        </w:rPr>
        <w:t>r Verordnung</w:t>
      </w:r>
      <w:r w:rsidR="000B79C6">
        <w:rPr>
          <w:rFonts w:ascii="Trebuchet MS" w:hAnsi="Trebuchet MS"/>
          <w:b/>
          <w:sz w:val="36"/>
          <w:szCs w:val="36"/>
        </w:rPr>
        <w:t xml:space="preserve"> </w:t>
      </w:r>
      <w:r w:rsidR="00A1198C">
        <w:rPr>
          <w:rFonts w:ascii="Trebuchet MS" w:hAnsi="Trebuchet MS"/>
          <w:b/>
          <w:sz w:val="36"/>
          <w:szCs w:val="36"/>
        </w:rPr>
        <w:t xml:space="preserve">über das Verfahren und die Anforderungen der Prüfung der Erstattungsfähigkeit digitaler Gesundheitsanwendungen in der gesetzlichen Krankenversicherung </w:t>
      </w:r>
      <w:r w:rsidR="00720082">
        <w:rPr>
          <w:rFonts w:ascii="Trebuchet MS" w:hAnsi="Trebuchet MS"/>
          <w:b/>
          <w:sz w:val="36"/>
          <w:szCs w:val="36"/>
        </w:rPr>
        <w:t>(</w:t>
      </w:r>
      <w:r w:rsidR="00A1198C">
        <w:rPr>
          <w:rFonts w:ascii="Trebuchet MS" w:hAnsi="Trebuchet MS"/>
          <w:b/>
          <w:sz w:val="36"/>
          <w:szCs w:val="36"/>
        </w:rPr>
        <w:t xml:space="preserve">Digitale-Gesundheitsanwendung-Verordnung- </w:t>
      </w:r>
      <w:proofErr w:type="spellStart"/>
      <w:r w:rsidR="00720082">
        <w:rPr>
          <w:rFonts w:ascii="Trebuchet MS" w:hAnsi="Trebuchet MS"/>
          <w:b/>
          <w:sz w:val="36"/>
          <w:szCs w:val="36"/>
        </w:rPr>
        <w:t>Di</w:t>
      </w:r>
      <w:r w:rsidR="00A1198C">
        <w:rPr>
          <w:rFonts w:ascii="Trebuchet MS" w:hAnsi="Trebuchet MS"/>
          <w:b/>
          <w:sz w:val="36"/>
          <w:szCs w:val="36"/>
        </w:rPr>
        <w:t>GAV</w:t>
      </w:r>
      <w:proofErr w:type="spellEnd"/>
      <w:r w:rsidR="00720082">
        <w:rPr>
          <w:rFonts w:ascii="Trebuchet MS" w:hAnsi="Trebuchet MS"/>
          <w:b/>
          <w:sz w:val="36"/>
          <w:szCs w:val="36"/>
        </w:rPr>
        <w:t>)</w:t>
      </w:r>
    </w:p>
    <w:p w:rsidR="00100F02" w:rsidRPr="00D44FFE" w:rsidRDefault="00100F02" w:rsidP="00100F02">
      <w:pPr>
        <w:spacing w:line="360" w:lineRule="auto"/>
        <w:jc w:val="center"/>
        <w:rPr>
          <w:rFonts w:ascii="Trebuchet MS" w:eastAsiaTheme="minorHAnsi" w:hAnsi="Trebuchet MS" w:cs="Arial"/>
          <w:sz w:val="36"/>
          <w:szCs w:val="36"/>
          <w:lang w:eastAsia="en-US"/>
        </w:rPr>
      </w:pPr>
    </w:p>
    <w:p w:rsidR="0041315F" w:rsidRPr="00D44FFE" w:rsidRDefault="0041315F" w:rsidP="00F6157B">
      <w:pPr>
        <w:spacing w:line="360" w:lineRule="auto"/>
        <w:rPr>
          <w:rFonts w:ascii="Trebuchet MS" w:eastAsiaTheme="minorHAnsi" w:hAnsi="Trebuchet MS" w:cs="Arial"/>
          <w:sz w:val="36"/>
          <w:szCs w:val="36"/>
          <w:lang w:eastAsia="en-US"/>
        </w:rPr>
      </w:pPr>
    </w:p>
    <w:p w:rsidR="00F21978" w:rsidRDefault="00100F02" w:rsidP="00100F02">
      <w:pPr>
        <w:spacing w:line="360" w:lineRule="auto"/>
        <w:jc w:val="center"/>
        <w:rPr>
          <w:rFonts w:ascii="Trebuchet MS" w:eastAsiaTheme="minorHAnsi" w:hAnsi="Trebuchet MS" w:cs="Arial"/>
          <w:b/>
          <w:sz w:val="36"/>
          <w:szCs w:val="36"/>
          <w:lang w:eastAsia="en-US"/>
        </w:rPr>
      </w:pPr>
      <w:r w:rsidRPr="00D44FFE">
        <w:rPr>
          <w:rFonts w:ascii="Trebuchet MS" w:eastAsiaTheme="minorHAnsi" w:hAnsi="Trebuchet MS" w:cs="Arial"/>
          <w:b/>
          <w:sz w:val="36"/>
          <w:szCs w:val="36"/>
          <w:lang w:eastAsia="en-US"/>
        </w:rPr>
        <w:t>- Anhörung</w:t>
      </w:r>
      <w:r w:rsidR="00F21978">
        <w:rPr>
          <w:rFonts w:ascii="Trebuchet MS" w:eastAsiaTheme="minorHAnsi" w:hAnsi="Trebuchet MS" w:cs="Arial"/>
          <w:b/>
          <w:sz w:val="36"/>
          <w:szCs w:val="36"/>
          <w:lang w:eastAsia="en-US"/>
        </w:rPr>
        <w:t xml:space="preserve"> im Bundesministerium für Gesundheit </w:t>
      </w:r>
    </w:p>
    <w:p w:rsidR="008E792B" w:rsidRPr="00323075" w:rsidRDefault="000B79C6" w:rsidP="00323075">
      <w:pPr>
        <w:spacing w:line="360" w:lineRule="auto"/>
        <w:jc w:val="center"/>
        <w:rPr>
          <w:rFonts w:ascii="Trebuchet MS" w:hAnsi="Trebuchet MS"/>
          <w:b/>
          <w:sz w:val="36"/>
          <w:szCs w:val="36"/>
        </w:rPr>
      </w:pPr>
      <w:r>
        <w:rPr>
          <w:rFonts w:ascii="Trebuchet MS" w:eastAsiaTheme="minorHAnsi" w:hAnsi="Trebuchet MS" w:cs="Arial"/>
          <w:b/>
          <w:sz w:val="36"/>
          <w:szCs w:val="36"/>
          <w:lang w:eastAsia="en-US"/>
        </w:rPr>
        <w:t>am 1</w:t>
      </w:r>
      <w:r w:rsidR="00A1198C">
        <w:rPr>
          <w:rFonts w:ascii="Trebuchet MS" w:eastAsiaTheme="minorHAnsi" w:hAnsi="Trebuchet MS" w:cs="Arial"/>
          <w:b/>
          <w:sz w:val="36"/>
          <w:szCs w:val="36"/>
          <w:lang w:eastAsia="en-US"/>
        </w:rPr>
        <w:t>9</w:t>
      </w:r>
      <w:r w:rsidR="00F21978">
        <w:rPr>
          <w:rFonts w:ascii="Trebuchet MS" w:eastAsiaTheme="minorHAnsi" w:hAnsi="Trebuchet MS" w:cs="Arial"/>
          <w:b/>
          <w:sz w:val="36"/>
          <w:szCs w:val="36"/>
          <w:lang w:eastAsia="en-US"/>
        </w:rPr>
        <w:t xml:space="preserve">. </w:t>
      </w:r>
      <w:r w:rsidR="00A1198C">
        <w:rPr>
          <w:rFonts w:ascii="Trebuchet MS" w:eastAsiaTheme="minorHAnsi" w:hAnsi="Trebuchet MS" w:cs="Arial"/>
          <w:b/>
          <w:sz w:val="36"/>
          <w:szCs w:val="36"/>
          <w:lang w:eastAsia="en-US"/>
        </w:rPr>
        <w:t>Februar</w:t>
      </w:r>
      <w:r w:rsidR="00D44FFE">
        <w:rPr>
          <w:rFonts w:ascii="Trebuchet MS" w:eastAsiaTheme="minorHAnsi" w:hAnsi="Trebuchet MS" w:cs="Arial"/>
          <w:b/>
          <w:sz w:val="36"/>
          <w:szCs w:val="36"/>
          <w:lang w:eastAsia="en-US"/>
        </w:rPr>
        <w:t xml:space="preserve"> </w:t>
      </w:r>
      <w:r w:rsidR="00100F02" w:rsidRPr="00D44FFE">
        <w:rPr>
          <w:rFonts w:ascii="Trebuchet MS" w:eastAsiaTheme="minorHAnsi" w:hAnsi="Trebuchet MS" w:cs="Arial"/>
          <w:b/>
          <w:sz w:val="36"/>
          <w:szCs w:val="36"/>
          <w:lang w:eastAsia="en-US"/>
        </w:rPr>
        <w:t>20</w:t>
      </w:r>
      <w:r w:rsidR="00A1198C">
        <w:rPr>
          <w:rFonts w:ascii="Trebuchet MS" w:eastAsiaTheme="minorHAnsi" w:hAnsi="Trebuchet MS" w:cs="Arial"/>
          <w:b/>
          <w:sz w:val="36"/>
          <w:szCs w:val="36"/>
          <w:lang w:eastAsia="en-US"/>
        </w:rPr>
        <w:t>20</w:t>
      </w:r>
      <w:r w:rsidR="00100F02" w:rsidRPr="00D44FFE">
        <w:rPr>
          <w:rFonts w:ascii="Trebuchet MS" w:eastAsiaTheme="minorHAnsi" w:hAnsi="Trebuchet MS" w:cs="Arial"/>
          <w:b/>
          <w:sz w:val="36"/>
          <w:szCs w:val="36"/>
          <w:lang w:eastAsia="en-US"/>
        </w:rPr>
        <w:t xml:space="preserve"> -</w:t>
      </w:r>
    </w:p>
    <w:p w:rsidR="002D17EF" w:rsidRDefault="00476E5A" w:rsidP="000B79C6">
      <w:pPr>
        <w:spacing w:line="360" w:lineRule="auto"/>
        <w:rPr>
          <w:rFonts w:ascii="Trebuchet MS" w:hAnsi="Trebuchet MS"/>
        </w:rPr>
      </w:pPr>
      <w:r w:rsidRPr="00F869B2">
        <w:rPr>
          <w:rFonts w:ascii="Trebuchet MS" w:hAnsi="Trebuchet MS"/>
        </w:rPr>
        <w:lastRenderedPageBreak/>
        <w:t>Als Dachverband von 117 B</w:t>
      </w:r>
      <w:r w:rsidR="00100F02" w:rsidRPr="00F869B2">
        <w:rPr>
          <w:rFonts w:ascii="Trebuchet MS" w:hAnsi="Trebuchet MS"/>
        </w:rPr>
        <w:t xml:space="preserve">undesorganisationen der Selbsthilfe chronisch kranker und behinderter </w:t>
      </w:r>
      <w:r w:rsidR="00F21978" w:rsidRPr="00F869B2">
        <w:rPr>
          <w:rFonts w:ascii="Trebuchet MS" w:hAnsi="Trebuchet MS"/>
        </w:rPr>
        <w:t>Menschen</w:t>
      </w:r>
      <w:r w:rsidR="00100F02" w:rsidRPr="00F869B2">
        <w:rPr>
          <w:rFonts w:ascii="Trebuchet MS" w:hAnsi="Trebuchet MS"/>
        </w:rPr>
        <w:t xml:space="preserve"> begrüßt die BAG SELBSTHILFE</w:t>
      </w:r>
      <w:r w:rsidR="00003900">
        <w:rPr>
          <w:rFonts w:ascii="Trebuchet MS" w:hAnsi="Trebuchet MS"/>
        </w:rPr>
        <w:t xml:space="preserve"> das Ziel des Entwurfs, die Versorgung von Patientinnen und Patienten </w:t>
      </w:r>
      <w:r w:rsidR="009B38DE">
        <w:rPr>
          <w:rFonts w:ascii="Trebuchet MS" w:hAnsi="Trebuchet MS"/>
        </w:rPr>
        <w:t>dadurch</w:t>
      </w:r>
      <w:r w:rsidR="00720082">
        <w:rPr>
          <w:rFonts w:ascii="Trebuchet MS" w:hAnsi="Trebuchet MS"/>
        </w:rPr>
        <w:t xml:space="preserve"> zu verbessern</w:t>
      </w:r>
      <w:r w:rsidR="009B38DE">
        <w:rPr>
          <w:rFonts w:ascii="Trebuchet MS" w:hAnsi="Trebuchet MS"/>
        </w:rPr>
        <w:t xml:space="preserve">, dass nur solche digitalen Anwendungen in die Erstattung kommen, die den Patient*innen einen echten Mehrwert bringen und bei denen gleichzeitig die Sicherheit der sensiblen </w:t>
      </w:r>
      <w:r w:rsidR="002E14CC">
        <w:rPr>
          <w:rFonts w:ascii="Trebuchet MS" w:hAnsi="Trebuchet MS"/>
        </w:rPr>
        <w:t>Gesundheitsd</w:t>
      </w:r>
      <w:r w:rsidR="009B38DE">
        <w:rPr>
          <w:rFonts w:ascii="Trebuchet MS" w:hAnsi="Trebuchet MS"/>
        </w:rPr>
        <w:t>aten gewährleistet ist</w:t>
      </w:r>
      <w:r w:rsidR="00720082">
        <w:rPr>
          <w:rFonts w:ascii="Trebuchet MS" w:hAnsi="Trebuchet MS"/>
        </w:rPr>
        <w:t xml:space="preserve">. </w:t>
      </w:r>
      <w:r w:rsidR="002E14CC">
        <w:rPr>
          <w:rFonts w:ascii="Trebuchet MS" w:hAnsi="Trebuchet MS"/>
        </w:rPr>
        <w:t>Insgesamt eröffnet d</w:t>
      </w:r>
      <w:r w:rsidR="002E14CC" w:rsidRPr="002E14CC">
        <w:rPr>
          <w:rFonts w:ascii="Trebuchet MS" w:hAnsi="Trebuchet MS"/>
          <w:b/>
        </w:rPr>
        <w:t>ie</w:t>
      </w:r>
      <w:r w:rsidR="001B0988" w:rsidRPr="002E14CC">
        <w:rPr>
          <w:rFonts w:ascii="Trebuchet MS" w:hAnsi="Trebuchet MS"/>
          <w:b/>
        </w:rPr>
        <w:t xml:space="preserve"> Digitalisie</w:t>
      </w:r>
      <w:r w:rsidR="003C37F3" w:rsidRPr="002E14CC">
        <w:rPr>
          <w:rFonts w:ascii="Trebuchet MS" w:hAnsi="Trebuchet MS"/>
          <w:b/>
        </w:rPr>
        <w:t>rung</w:t>
      </w:r>
      <w:r w:rsidR="001B0988" w:rsidRPr="002E14CC">
        <w:rPr>
          <w:rFonts w:ascii="Trebuchet MS" w:hAnsi="Trebuchet MS"/>
          <w:b/>
        </w:rPr>
        <w:t xml:space="preserve"> Möglichkeiten</w:t>
      </w:r>
      <w:r w:rsidR="009B38DE" w:rsidRPr="002E14CC">
        <w:rPr>
          <w:rFonts w:ascii="Trebuchet MS" w:hAnsi="Trebuchet MS"/>
          <w:b/>
        </w:rPr>
        <w:t xml:space="preserve"> für chronisch kranke und behinderte Menschen</w:t>
      </w:r>
      <w:r w:rsidR="001B0988">
        <w:rPr>
          <w:rFonts w:ascii="Trebuchet MS" w:hAnsi="Trebuchet MS"/>
        </w:rPr>
        <w:t xml:space="preserve">, </w:t>
      </w:r>
      <w:r w:rsidR="009B38DE">
        <w:rPr>
          <w:rFonts w:ascii="Trebuchet MS" w:hAnsi="Trebuchet MS"/>
        </w:rPr>
        <w:t xml:space="preserve">ihren Umgang mit der Erkrankung oder Behinderung erheblich </w:t>
      </w:r>
      <w:r w:rsidR="001B0988">
        <w:rPr>
          <w:rFonts w:ascii="Trebuchet MS" w:hAnsi="Trebuchet MS"/>
        </w:rPr>
        <w:t xml:space="preserve">zu verbessern. </w:t>
      </w:r>
      <w:r w:rsidR="00720082">
        <w:rPr>
          <w:rFonts w:ascii="Trebuchet MS" w:hAnsi="Trebuchet MS"/>
        </w:rPr>
        <w:t xml:space="preserve">So bieten </w:t>
      </w:r>
      <w:r w:rsidR="00003900">
        <w:rPr>
          <w:rFonts w:ascii="Trebuchet MS" w:hAnsi="Trebuchet MS"/>
        </w:rPr>
        <w:t xml:space="preserve">digitale Angebote </w:t>
      </w:r>
      <w:r w:rsidR="00720082">
        <w:rPr>
          <w:rFonts w:ascii="Trebuchet MS" w:hAnsi="Trebuchet MS"/>
        </w:rPr>
        <w:t xml:space="preserve">etwa </w:t>
      </w:r>
      <w:r w:rsidR="00003900">
        <w:rPr>
          <w:rFonts w:ascii="Trebuchet MS" w:hAnsi="Trebuchet MS"/>
        </w:rPr>
        <w:t xml:space="preserve">enorme Chancen für Menschen mit Sehbehinderungen, selbstbestimmt an der Gesellschaft teilzuhaben und ihre Gesundheitsversorgung selbst zu gestalten. Hierfür müssen die Angebote aber </w:t>
      </w:r>
      <w:r w:rsidR="00003900" w:rsidRPr="002E14CC">
        <w:rPr>
          <w:rFonts w:ascii="Trebuchet MS" w:hAnsi="Trebuchet MS"/>
          <w:b/>
        </w:rPr>
        <w:t xml:space="preserve">dann auch von Anfang an barrierefrei ausgestaltet </w:t>
      </w:r>
      <w:r w:rsidR="00003900">
        <w:rPr>
          <w:rFonts w:ascii="Trebuchet MS" w:hAnsi="Trebuchet MS"/>
        </w:rPr>
        <w:t xml:space="preserve">sein. </w:t>
      </w:r>
    </w:p>
    <w:p w:rsidR="004C4649" w:rsidRDefault="004C4649" w:rsidP="000B79C6">
      <w:pPr>
        <w:spacing w:line="360" w:lineRule="auto"/>
        <w:rPr>
          <w:rFonts w:ascii="Trebuchet MS" w:hAnsi="Trebuchet MS"/>
        </w:rPr>
      </w:pPr>
    </w:p>
    <w:p w:rsidR="004C4649" w:rsidRDefault="004C4649" w:rsidP="000B79C6">
      <w:pPr>
        <w:spacing w:line="360" w:lineRule="auto"/>
        <w:rPr>
          <w:rFonts w:ascii="Trebuchet MS" w:hAnsi="Trebuchet MS"/>
        </w:rPr>
      </w:pPr>
      <w:r>
        <w:rPr>
          <w:rFonts w:ascii="Trebuchet MS" w:hAnsi="Trebuchet MS"/>
        </w:rPr>
        <w:t xml:space="preserve">Zu den </w:t>
      </w:r>
      <w:r w:rsidR="009A00F8">
        <w:rPr>
          <w:rFonts w:ascii="Trebuchet MS" w:hAnsi="Trebuchet MS"/>
        </w:rPr>
        <w:t>Regelungen</w:t>
      </w:r>
      <w:r>
        <w:rPr>
          <w:rFonts w:ascii="Trebuchet MS" w:hAnsi="Trebuchet MS"/>
        </w:rPr>
        <w:t xml:space="preserve"> im Einzelnen:</w:t>
      </w:r>
    </w:p>
    <w:p w:rsidR="004C4649" w:rsidRPr="009A00F8" w:rsidRDefault="004C4649" w:rsidP="000B79C6">
      <w:pPr>
        <w:spacing w:line="360" w:lineRule="auto"/>
        <w:rPr>
          <w:rFonts w:ascii="Trebuchet MS" w:hAnsi="Trebuchet MS"/>
          <w:b/>
        </w:rPr>
      </w:pPr>
    </w:p>
    <w:p w:rsidR="004C4649" w:rsidRPr="009A00F8" w:rsidRDefault="004C4649" w:rsidP="004C4649">
      <w:pPr>
        <w:pStyle w:val="Listenabsatz"/>
        <w:numPr>
          <w:ilvl w:val="0"/>
          <w:numId w:val="20"/>
        </w:numPr>
        <w:spacing w:line="360" w:lineRule="auto"/>
        <w:rPr>
          <w:rFonts w:ascii="Trebuchet MS" w:hAnsi="Trebuchet MS"/>
          <w:b/>
        </w:rPr>
      </w:pPr>
      <w:r w:rsidRPr="009A00F8">
        <w:rPr>
          <w:rFonts w:ascii="Trebuchet MS" w:hAnsi="Trebuchet MS"/>
          <w:b/>
        </w:rPr>
        <w:t xml:space="preserve">Datenschutz (§ 5 Abs. 3 </w:t>
      </w:r>
      <w:proofErr w:type="spellStart"/>
      <w:r w:rsidRPr="009A00F8">
        <w:rPr>
          <w:rFonts w:ascii="Trebuchet MS" w:hAnsi="Trebuchet MS"/>
          <w:b/>
        </w:rPr>
        <w:t>D</w:t>
      </w:r>
      <w:r w:rsidR="008F00F5">
        <w:rPr>
          <w:rFonts w:ascii="Trebuchet MS" w:hAnsi="Trebuchet MS"/>
          <w:b/>
        </w:rPr>
        <w:t>i</w:t>
      </w:r>
      <w:r w:rsidRPr="009A00F8">
        <w:rPr>
          <w:rFonts w:ascii="Trebuchet MS" w:hAnsi="Trebuchet MS"/>
          <w:b/>
        </w:rPr>
        <w:t>GAV</w:t>
      </w:r>
      <w:proofErr w:type="spellEnd"/>
      <w:r w:rsidRPr="009A00F8">
        <w:rPr>
          <w:rFonts w:ascii="Trebuchet MS" w:hAnsi="Trebuchet MS"/>
          <w:b/>
        </w:rPr>
        <w:t>)</w:t>
      </w:r>
    </w:p>
    <w:p w:rsidR="004C4649" w:rsidRDefault="004C4649" w:rsidP="004C4649">
      <w:pPr>
        <w:spacing w:line="360" w:lineRule="auto"/>
        <w:rPr>
          <w:rFonts w:ascii="Trebuchet MS" w:hAnsi="Trebuchet MS"/>
        </w:rPr>
      </w:pPr>
    </w:p>
    <w:p w:rsidR="004C4649" w:rsidRPr="004C4649" w:rsidRDefault="004C4649" w:rsidP="004C4649">
      <w:pPr>
        <w:spacing w:line="360" w:lineRule="auto"/>
        <w:rPr>
          <w:rFonts w:ascii="Trebuchet MS" w:hAnsi="Trebuchet MS"/>
        </w:rPr>
      </w:pPr>
      <w:r>
        <w:rPr>
          <w:rFonts w:ascii="Trebuchet MS" w:hAnsi="Trebuchet MS"/>
        </w:rPr>
        <w:t xml:space="preserve">Die BAG SELBSTHILFE begrüßt explizit, dass es </w:t>
      </w:r>
      <w:r w:rsidR="00323075">
        <w:rPr>
          <w:rFonts w:ascii="Trebuchet MS" w:hAnsi="Trebuchet MS"/>
        </w:rPr>
        <w:t>klare</w:t>
      </w:r>
      <w:r>
        <w:rPr>
          <w:rFonts w:ascii="Trebuchet MS" w:hAnsi="Trebuchet MS"/>
        </w:rPr>
        <w:t xml:space="preserve"> Maßgaben für den Datenschutz nach der Verordnung geben soll; insbesondere das Werbeverbot in § 5 Abs. 4 wird sehr positiv gesehen. Gleichzeitig stehen diesen</w:t>
      </w:r>
      <w:r w:rsidRPr="002E14CC">
        <w:rPr>
          <w:rFonts w:ascii="Trebuchet MS" w:hAnsi="Trebuchet MS"/>
        </w:rPr>
        <w:t xml:space="preserve"> Maßstäben</w:t>
      </w:r>
      <w:r w:rsidRPr="002E14CC">
        <w:rPr>
          <w:rFonts w:ascii="Trebuchet MS" w:hAnsi="Trebuchet MS"/>
          <w:b/>
        </w:rPr>
        <w:t xml:space="preserve"> keine adäquaten Nachweis- und Überprüfungspflichten</w:t>
      </w:r>
      <w:r>
        <w:rPr>
          <w:rFonts w:ascii="Trebuchet MS" w:hAnsi="Trebuchet MS"/>
        </w:rPr>
        <w:t xml:space="preserve"> gegenüber: Nach der Ausgestaltung der Verordnung sollen offenbar </w:t>
      </w:r>
      <w:r w:rsidRPr="002E14CC">
        <w:rPr>
          <w:rFonts w:ascii="Trebuchet MS" w:hAnsi="Trebuchet MS"/>
          <w:b/>
        </w:rPr>
        <w:t>Herstellerangaben</w:t>
      </w:r>
      <w:r>
        <w:rPr>
          <w:rFonts w:ascii="Trebuchet MS" w:hAnsi="Trebuchet MS"/>
        </w:rPr>
        <w:t xml:space="preserve"> zur Überprüfung der Einhaltung des Datenschutzes genügen. Dies entspricht aus der Sicht der BAG SELBSTHILFE nicht den Anforderungen, die an den Umgang mit sensiblen Gesundheitsdaten zu stellen sind. Vor diesem Hintergrund fordert die BAG SELBSTHILFE dringend dazu auf festzulegen, dass das BfArM selbst oder durch beauftragte Prüfer klären muss, ob die Maßgaben des Datenschutzes eingehalten wurden und die Datensicherheit </w:t>
      </w:r>
      <w:r w:rsidR="009A00F8">
        <w:rPr>
          <w:rFonts w:ascii="Trebuchet MS" w:hAnsi="Trebuchet MS"/>
        </w:rPr>
        <w:t xml:space="preserve">durch den Anbieter der digitalen Anwendung </w:t>
      </w:r>
      <w:r>
        <w:rPr>
          <w:rFonts w:ascii="Trebuchet MS" w:hAnsi="Trebuchet MS"/>
        </w:rPr>
        <w:t>gewährleistet wird.</w:t>
      </w:r>
    </w:p>
    <w:p w:rsidR="004C4649" w:rsidRDefault="004C4649" w:rsidP="004C4649">
      <w:pPr>
        <w:spacing w:line="360" w:lineRule="auto"/>
        <w:rPr>
          <w:rFonts w:ascii="Trebuchet MS" w:hAnsi="Trebuchet MS"/>
        </w:rPr>
      </w:pPr>
    </w:p>
    <w:p w:rsidR="009A00F8" w:rsidRPr="009A00F8" w:rsidRDefault="009A00F8" w:rsidP="009A00F8">
      <w:pPr>
        <w:pStyle w:val="Listenabsatz"/>
        <w:numPr>
          <w:ilvl w:val="0"/>
          <w:numId w:val="20"/>
        </w:numPr>
        <w:spacing w:line="360" w:lineRule="auto"/>
        <w:rPr>
          <w:rFonts w:ascii="Trebuchet MS" w:hAnsi="Trebuchet MS"/>
          <w:b/>
        </w:rPr>
      </w:pPr>
      <w:r w:rsidRPr="009A00F8">
        <w:rPr>
          <w:rFonts w:ascii="Trebuchet MS" w:hAnsi="Trebuchet MS"/>
          <w:b/>
        </w:rPr>
        <w:t>Unterstützungsleistungen für Versicherte (§</w:t>
      </w:r>
      <w:r w:rsidR="00017F79">
        <w:rPr>
          <w:rFonts w:ascii="Trebuchet MS" w:hAnsi="Trebuchet MS"/>
          <w:b/>
        </w:rPr>
        <w:t>§</w:t>
      </w:r>
      <w:r w:rsidRPr="009A00F8">
        <w:rPr>
          <w:rFonts w:ascii="Trebuchet MS" w:hAnsi="Trebuchet MS"/>
          <w:b/>
        </w:rPr>
        <w:t xml:space="preserve"> 8 Abs. 3</w:t>
      </w:r>
      <w:r w:rsidR="00017F79">
        <w:rPr>
          <w:rFonts w:ascii="Trebuchet MS" w:hAnsi="Trebuchet MS"/>
          <w:b/>
        </w:rPr>
        <w:t>, 25 Abs. 3</w:t>
      </w:r>
      <w:r w:rsidRPr="009A00F8">
        <w:rPr>
          <w:rFonts w:ascii="Trebuchet MS" w:hAnsi="Trebuchet MS"/>
          <w:b/>
        </w:rPr>
        <w:t xml:space="preserve"> </w:t>
      </w:r>
      <w:proofErr w:type="spellStart"/>
      <w:r w:rsidRPr="009A00F8">
        <w:rPr>
          <w:rFonts w:ascii="Trebuchet MS" w:hAnsi="Trebuchet MS"/>
          <w:b/>
        </w:rPr>
        <w:t>D</w:t>
      </w:r>
      <w:r w:rsidR="008F00F5">
        <w:rPr>
          <w:rFonts w:ascii="Trebuchet MS" w:hAnsi="Trebuchet MS"/>
          <w:b/>
        </w:rPr>
        <w:t>i</w:t>
      </w:r>
      <w:r w:rsidRPr="009A00F8">
        <w:rPr>
          <w:rFonts w:ascii="Trebuchet MS" w:hAnsi="Trebuchet MS"/>
          <w:b/>
        </w:rPr>
        <w:t>GAV</w:t>
      </w:r>
      <w:proofErr w:type="spellEnd"/>
      <w:r w:rsidRPr="009A00F8">
        <w:rPr>
          <w:rFonts w:ascii="Trebuchet MS" w:hAnsi="Trebuchet MS"/>
          <w:b/>
        </w:rPr>
        <w:t>)</w:t>
      </w:r>
    </w:p>
    <w:p w:rsidR="00323075" w:rsidRDefault="00323075" w:rsidP="009A00F8">
      <w:pPr>
        <w:spacing w:line="360" w:lineRule="auto"/>
        <w:rPr>
          <w:rFonts w:ascii="Trebuchet MS" w:hAnsi="Trebuchet MS"/>
        </w:rPr>
      </w:pPr>
    </w:p>
    <w:p w:rsidR="009B38DE" w:rsidRDefault="009A00F8" w:rsidP="009A00F8">
      <w:pPr>
        <w:spacing w:line="360" w:lineRule="auto"/>
        <w:rPr>
          <w:rFonts w:ascii="Trebuchet MS" w:hAnsi="Trebuchet MS"/>
        </w:rPr>
      </w:pPr>
      <w:r w:rsidRPr="009A00F8">
        <w:rPr>
          <w:rFonts w:ascii="Trebuchet MS" w:hAnsi="Trebuchet MS"/>
        </w:rPr>
        <w:t>Die BAG SELBSTHILFE sieht es zwar positiv, dass dem Anbieter auferlegt wird, Unterstützungsleistungen für Versicherte vorzuhalten; es ist jedoch aus ihrer Sicht – sicherzustellen, dass diese notwendigen Unterstützungsleistungen sowohl im Verzeichnis als auch im Bescheid explizit festgelegt werden. Es sollte also öffentlich gemacht werden,</w:t>
      </w:r>
      <w:r w:rsidR="009B38DE" w:rsidRPr="009A00F8">
        <w:rPr>
          <w:rFonts w:ascii="Trebuchet MS" w:hAnsi="Trebuchet MS"/>
        </w:rPr>
        <w:t xml:space="preserve"> welche </w:t>
      </w:r>
      <w:r w:rsidR="009B38DE" w:rsidRPr="009A00F8">
        <w:rPr>
          <w:rFonts w:ascii="Trebuchet MS" w:hAnsi="Trebuchet MS"/>
        </w:rPr>
        <w:lastRenderedPageBreak/>
        <w:t>Unterstützungsleistungen von wem wann mit welcher Qualifikation zu erbringen sind</w:t>
      </w:r>
      <w:r>
        <w:rPr>
          <w:rFonts w:ascii="Trebuchet MS" w:hAnsi="Trebuchet MS"/>
        </w:rPr>
        <w:t>; nur auf diese Weise</w:t>
      </w:r>
      <w:r w:rsidR="009B38DE" w:rsidRPr="009A00F8">
        <w:rPr>
          <w:rFonts w:ascii="Trebuchet MS" w:hAnsi="Trebuchet MS"/>
        </w:rPr>
        <w:t xml:space="preserve"> kann sich der Versicherte später auf </w:t>
      </w:r>
      <w:r>
        <w:rPr>
          <w:rFonts w:ascii="Trebuchet MS" w:hAnsi="Trebuchet MS"/>
        </w:rPr>
        <w:t>diese Unterstützungsleistu</w:t>
      </w:r>
      <w:r w:rsidR="00017F79">
        <w:rPr>
          <w:rFonts w:ascii="Trebuchet MS" w:hAnsi="Trebuchet MS"/>
        </w:rPr>
        <w:t>n</w:t>
      </w:r>
      <w:r>
        <w:rPr>
          <w:rFonts w:ascii="Trebuchet MS" w:hAnsi="Trebuchet MS"/>
        </w:rPr>
        <w:t>gen</w:t>
      </w:r>
      <w:r w:rsidR="009B38DE" w:rsidRPr="009A00F8">
        <w:rPr>
          <w:rFonts w:ascii="Trebuchet MS" w:hAnsi="Trebuchet MS"/>
        </w:rPr>
        <w:t xml:space="preserve"> berufen.</w:t>
      </w:r>
      <w:r w:rsidR="00017F79">
        <w:rPr>
          <w:rFonts w:ascii="Trebuchet MS" w:hAnsi="Trebuchet MS"/>
        </w:rPr>
        <w:t xml:space="preserve"> Es wird insoweit angeregt, dies in die Aufzählung der zu veröffentlichenden Angaben von § 25 Abs. 3 aufzunehmen.</w:t>
      </w:r>
    </w:p>
    <w:p w:rsidR="009A00F8" w:rsidRDefault="009A00F8" w:rsidP="009A00F8">
      <w:pPr>
        <w:spacing w:line="360" w:lineRule="auto"/>
        <w:rPr>
          <w:rFonts w:ascii="Trebuchet MS" w:hAnsi="Trebuchet MS"/>
        </w:rPr>
      </w:pPr>
    </w:p>
    <w:p w:rsidR="004248A6" w:rsidRPr="00D972D6" w:rsidRDefault="004248A6" w:rsidP="004248A6">
      <w:pPr>
        <w:pStyle w:val="Listenabsatz"/>
        <w:numPr>
          <w:ilvl w:val="0"/>
          <w:numId w:val="20"/>
        </w:numPr>
        <w:spacing w:line="360" w:lineRule="auto"/>
        <w:rPr>
          <w:rFonts w:ascii="Trebuchet MS" w:hAnsi="Trebuchet MS"/>
          <w:b/>
        </w:rPr>
      </w:pPr>
      <w:r w:rsidRPr="00D972D6">
        <w:rPr>
          <w:rFonts w:ascii="Trebuchet MS" w:hAnsi="Trebuchet MS"/>
          <w:b/>
        </w:rPr>
        <w:t xml:space="preserve">Barrierefreiheit der digitalen Anwendung und des Verzeichnisses (§§ 9 Abs. 2, 11 Abs. 2, 25 Abs. 5 </w:t>
      </w:r>
      <w:proofErr w:type="spellStart"/>
      <w:r w:rsidRPr="00D972D6">
        <w:rPr>
          <w:rFonts w:ascii="Trebuchet MS" w:hAnsi="Trebuchet MS"/>
          <w:b/>
        </w:rPr>
        <w:t>D</w:t>
      </w:r>
      <w:r w:rsidR="008F00F5">
        <w:rPr>
          <w:rFonts w:ascii="Trebuchet MS" w:hAnsi="Trebuchet MS"/>
          <w:b/>
        </w:rPr>
        <w:t>i</w:t>
      </w:r>
      <w:r w:rsidRPr="00D972D6">
        <w:rPr>
          <w:rFonts w:ascii="Trebuchet MS" w:hAnsi="Trebuchet MS"/>
          <w:b/>
        </w:rPr>
        <w:t>GAV</w:t>
      </w:r>
      <w:proofErr w:type="spellEnd"/>
      <w:r w:rsidRPr="00D972D6">
        <w:rPr>
          <w:rFonts w:ascii="Trebuchet MS" w:hAnsi="Trebuchet MS"/>
          <w:b/>
        </w:rPr>
        <w:t>)</w:t>
      </w:r>
    </w:p>
    <w:p w:rsidR="00D972D6" w:rsidRDefault="00D972D6" w:rsidP="00CE59F3">
      <w:pPr>
        <w:spacing w:line="360" w:lineRule="auto"/>
        <w:rPr>
          <w:rFonts w:ascii="Trebuchet MS" w:hAnsi="Trebuchet MS"/>
        </w:rPr>
      </w:pPr>
    </w:p>
    <w:p w:rsidR="004248A6" w:rsidRPr="00CE59F3" w:rsidRDefault="004248A6" w:rsidP="00CE59F3">
      <w:pPr>
        <w:spacing w:line="360" w:lineRule="auto"/>
        <w:rPr>
          <w:rFonts w:ascii="Trebuchet MS" w:hAnsi="Trebuchet MS"/>
        </w:rPr>
      </w:pPr>
      <w:r w:rsidRPr="00CE59F3">
        <w:rPr>
          <w:rFonts w:ascii="Trebuchet MS" w:hAnsi="Trebuchet MS"/>
        </w:rPr>
        <w:t xml:space="preserve">Zwar ist es ausdrücklich zu begrüßen, dass der Verordnungsentwurf in § 25 Abs. 5 </w:t>
      </w:r>
    </w:p>
    <w:p w:rsidR="004248A6" w:rsidRPr="00CE59F3" w:rsidRDefault="004248A6" w:rsidP="00CE59F3">
      <w:pPr>
        <w:spacing w:line="360" w:lineRule="auto"/>
        <w:rPr>
          <w:rFonts w:ascii="Trebuchet MS" w:hAnsi="Trebuchet MS"/>
        </w:rPr>
      </w:pPr>
      <w:r w:rsidRPr="00CE59F3">
        <w:rPr>
          <w:rFonts w:ascii="Trebuchet MS" w:hAnsi="Trebuchet MS"/>
        </w:rPr>
        <w:t xml:space="preserve">die Barrierefreiheit des Verzeichnisses der digitalen Gesundheitsanwendungen </w:t>
      </w:r>
    </w:p>
    <w:p w:rsidR="004248A6" w:rsidRPr="00CE59F3" w:rsidRDefault="004248A6" w:rsidP="00CE59F3">
      <w:pPr>
        <w:spacing w:line="360" w:lineRule="auto"/>
        <w:rPr>
          <w:rFonts w:ascii="Trebuchet MS" w:hAnsi="Trebuchet MS"/>
        </w:rPr>
      </w:pPr>
      <w:r w:rsidRPr="00CE59F3">
        <w:rPr>
          <w:rFonts w:ascii="Trebuchet MS" w:hAnsi="Trebuchet MS"/>
        </w:rPr>
        <w:t xml:space="preserve">ausdrücklich regelt. </w:t>
      </w:r>
    </w:p>
    <w:p w:rsidR="004248A6" w:rsidRPr="00CE59F3" w:rsidRDefault="004248A6" w:rsidP="00CE59F3">
      <w:pPr>
        <w:spacing w:line="360" w:lineRule="auto"/>
        <w:rPr>
          <w:rFonts w:ascii="Trebuchet MS" w:hAnsi="Trebuchet MS"/>
        </w:rPr>
      </w:pPr>
    </w:p>
    <w:p w:rsidR="004248A6" w:rsidRPr="00CE59F3" w:rsidRDefault="004248A6" w:rsidP="00CE59F3">
      <w:pPr>
        <w:spacing w:line="360" w:lineRule="auto"/>
        <w:rPr>
          <w:rFonts w:ascii="Trebuchet MS" w:hAnsi="Trebuchet MS"/>
        </w:rPr>
      </w:pPr>
      <w:r w:rsidRPr="00CE59F3">
        <w:rPr>
          <w:rFonts w:ascii="Trebuchet MS" w:hAnsi="Trebuchet MS"/>
        </w:rPr>
        <w:t>Dieses Verzeichnis allein hilft den Versicherten mit Behinderungen</w:t>
      </w:r>
      <w:r w:rsidR="002E14CC">
        <w:rPr>
          <w:rFonts w:ascii="Trebuchet MS" w:hAnsi="Trebuchet MS"/>
        </w:rPr>
        <w:t xml:space="preserve"> allerdings</w:t>
      </w:r>
      <w:r w:rsidRPr="00CE59F3">
        <w:rPr>
          <w:rFonts w:ascii="Trebuchet MS" w:hAnsi="Trebuchet MS"/>
        </w:rPr>
        <w:t xml:space="preserve"> </w:t>
      </w:r>
    </w:p>
    <w:p w:rsidR="004248A6" w:rsidRPr="00CE59F3" w:rsidRDefault="004248A6" w:rsidP="00CE59F3">
      <w:pPr>
        <w:spacing w:line="360" w:lineRule="auto"/>
        <w:rPr>
          <w:rFonts w:ascii="Trebuchet MS" w:hAnsi="Trebuchet MS"/>
        </w:rPr>
      </w:pPr>
      <w:r w:rsidRPr="00CE59F3">
        <w:rPr>
          <w:rFonts w:ascii="Trebuchet MS" w:hAnsi="Trebuchet MS"/>
        </w:rPr>
        <w:t xml:space="preserve">nicht weiter, wenn es um die Nutzbarkeit der digitalen Gesundheitsanwendungen </w:t>
      </w:r>
    </w:p>
    <w:p w:rsidR="00CE59F3" w:rsidRPr="00CE59F3" w:rsidRDefault="004248A6" w:rsidP="00CE59F3">
      <w:pPr>
        <w:spacing w:line="360" w:lineRule="auto"/>
        <w:rPr>
          <w:rFonts w:ascii="Trebuchet MS" w:hAnsi="Trebuchet MS"/>
        </w:rPr>
      </w:pPr>
      <w:r w:rsidRPr="00CE59F3">
        <w:rPr>
          <w:rFonts w:ascii="Trebuchet MS" w:hAnsi="Trebuchet MS"/>
        </w:rPr>
        <w:t xml:space="preserve">selbst geht. </w:t>
      </w:r>
      <w:r w:rsidR="00CE59F3" w:rsidRPr="00CE59F3">
        <w:rPr>
          <w:rFonts w:ascii="Trebuchet MS" w:hAnsi="Trebuchet MS"/>
        </w:rPr>
        <w:t>Dass hier die Maßgaben der Barrierefreiheit zu berücksichtigen sind, ergibt sich nicht nur aus der Gesetzesbegründung, sondern auch aus den Maßgaben der UN-BRK sowie des § 17 SGB I.</w:t>
      </w:r>
    </w:p>
    <w:p w:rsidR="00CE59F3" w:rsidRPr="00CE59F3" w:rsidRDefault="00CE59F3" w:rsidP="00CE59F3">
      <w:pPr>
        <w:spacing w:line="360" w:lineRule="auto"/>
        <w:rPr>
          <w:rFonts w:ascii="Trebuchet MS" w:hAnsi="Trebuchet MS"/>
        </w:rPr>
      </w:pPr>
    </w:p>
    <w:p w:rsidR="0013637E" w:rsidRPr="00CE59F3" w:rsidRDefault="00CE59F3" w:rsidP="00CE59F3">
      <w:pPr>
        <w:spacing w:line="360" w:lineRule="auto"/>
        <w:rPr>
          <w:rFonts w:ascii="Trebuchet MS" w:hAnsi="Trebuchet MS"/>
        </w:rPr>
      </w:pPr>
      <w:r w:rsidRPr="00CE59F3">
        <w:rPr>
          <w:rFonts w:ascii="Trebuchet MS" w:hAnsi="Trebuchet MS"/>
        </w:rPr>
        <w:t>Entgegen diesen Maßgaben und der eigenen Festlegungen in der Gesetzesbegründung zum DVG</w:t>
      </w:r>
      <w:r w:rsidR="004248A6" w:rsidRPr="00CE59F3">
        <w:rPr>
          <w:rFonts w:ascii="Trebuchet MS" w:hAnsi="Trebuchet MS"/>
        </w:rPr>
        <w:t xml:space="preserve"> </w:t>
      </w:r>
      <w:r w:rsidRPr="00CE59F3">
        <w:rPr>
          <w:rFonts w:ascii="Trebuchet MS" w:hAnsi="Trebuchet MS"/>
        </w:rPr>
        <w:t xml:space="preserve">sind </w:t>
      </w:r>
      <w:r w:rsidR="004248A6" w:rsidRPr="00CE59F3">
        <w:rPr>
          <w:rFonts w:ascii="Trebuchet MS" w:hAnsi="Trebuchet MS"/>
        </w:rPr>
        <w:t xml:space="preserve">bislang </w:t>
      </w:r>
      <w:r w:rsidRPr="00CE59F3">
        <w:rPr>
          <w:rFonts w:ascii="Trebuchet MS" w:hAnsi="Trebuchet MS"/>
        </w:rPr>
        <w:t xml:space="preserve">die </w:t>
      </w:r>
      <w:r w:rsidR="004248A6" w:rsidRPr="00CE59F3">
        <w:rPr>
          <w:rFonts w:ascii="Trebuchet MS" w:hAnsi="Trebuchet MS"/>
        </w:rPr>
        <w:t>Anforderungen an die Barrierefreiheit</w:t>
      </w:r>
      <w:r w:rsidRPr="00CE59F3">
        <w:rPr>
          <w:rFonts w:ascii="Trebuchet MS" w:hAnsi="Trebuchet MS"/>
        </w:rPr>
        <w:t xml:space="preserve"> in der Verordnung nur unzureichend</w:t>
      </w:r>
      <w:r w:rsidR="001C3A0E">
        <w:rPr>
          <w:rFonts w:ascii="Trebuchet MS" w:hAnsi="Trebuchet MS"/>
        </w:rPr>
        <w:t xml:space="preserve"> und nur in der Anlage</w:t>
      </w:r>
      <w:r w:rsidRPr="00CE59F3">
        <w:rPr>
          <w:rFonts w:ascii="Trebuchet MS" w:hAnsi="Trebuchet MS"/>
        </w:rPr>
        <w:t xml:space="preserve"> geregelt</w:t>
      </w:r>
      <w:r w:rsidR="004248A6" w:rsidRPr="00CE59F3">
        <w:rPr>
          <w:rFonts w:ascii="Trebuchet MS" w:hAnsi="Trebuchet MS"/>
        </w:rPr>
        <w:t xml:space="preserve">. </w:t>
      </w:r>
      <w:r w:rsidR="0013637E" w:rsidRPr="00CE59F3">
        <w:rPr>
          <w:rFonts w:ascii="Trebuchet MS" w:hAnsi="Trebuchet MS"/>
        </w:rPr>
        <w:t>Die Barrierefreiheit umfasst dabei nicht nur die Zugänglichkeit für Menschen mit Sehbehinderungen (die leider auch</w:t>
      </w:r>
      <w:r w:rsidRPr="00CE59F3">
        <w:rPr>
          <w:rFonts w:ascii="Trebuchet MS" w:hAnsi="Trebuchet MS"/>
        </w:rPr>
        <w:t xml:space="preserve"> nicht ausreichend</w:t>
      </w:r>
      <w:r w:rsidR="0013637E" w:rsidRPr="00CE59F3">
        <w:rPr>
          <w:rFonts w:ascii="Trebuchet MS" w:hAnsi="Trebuchet MS"/>
        </w:rPr>
        <w:t xml:space="preserve"> geregelt ist), sondern etwa auch die Verwendung leichter Sprache oder </w:t>
      </w:r>
      <w:proofErr w:type="spellStart"/>
      <w:r w:rsidR="0013637E" w:rsidRPr="00CE59F3">
        <w:rPr>
          <w:rFonts w:ascii="Trebuchet MS" w:hAnsi="Trebuchet MS"/>
        </w:rPr>
        <w:t>Gebärdensprachavatare</w:t>
      </w:r>
      <w:proofErr w:type="spellEnd"/>
      <w:r w:rsidR="0013637E" w:rsidRPr="00CE59F3">
        <w:rPr>
          <w:rFonts w:ascii="Trebuchet MS" w:hAnsi="Trebuchet MS"/>
        </w:rPr>
        <w:t xml:space="preserve">. Möglich sein sollte auch die Übersetzung in andere Sprachen, da häufig auch </w:t>
      </w:r>
      <w:proofErr w:type="spellStart"/>
      <w:r w:rsidR="0013637E" w:rsidRPr="00CE59F3">
        <w:rPr>
          <w:rFonts w:ascii="Trebuchet MS" w:hAnsi="Trebuchet MS"/>
        </w:rPr>
        <w:t>Mitgrant</w:t>
      </w:r>
      <w:proofErr w:type="spellEnd"/>
      <w:r w:rsidR="0013637E" w:rsidRPr="00CE59F3">
        <w:rPr>
          <w:rFonts w:ascii="Trebuchet MS" w:hAnsi="Trebuchet MS"/>
        </w:rPr>
        <w:t>*innen Zielgruppe einer solchen App sein können. Dies gilt insbesondere, wenn die Vermittlung von Gesundheitsinformationen Gegenstand der digitalen Anwendung ist.</w:t>
      </w:r>
    </w:p>
    <w:p w:rsidR="0013637E" w:rsidRPr="00CE59F3" w:rsidRDefault="0013637E" w:rsidP="00CE59F3">
      <w:pPr>
        <w:spacing w:line="360" w:lineRule="auto"/>
        <w:rPr>
          <w:rFonts w:ascii="Trebuchet MS" w:hAnsi="Trebuchet MS"/>
        </w:rPr>
      </w:pPr>
    </w:p>
    <w:p w:rsidR="004248A6" w:rsidRPr="00CE59F3" w:rsidRDefault="004248A6" w:rsidP="00CE59F3">
      <w:pPr>
        <w:spacing w:line="360" w:lineRule="auto"/>
        <w:rPr>
          <w:rFonts w:ascii="Trebuchet MS" w:hAnsi="Trebuchet MS"/>
        </w:rPr>
      </w:pPr>
      <w:r w:rsidRPr="00CE59F3">
        <w:rPr>
          <w:rFonts w:ascii="Trebuchet MS" w:hAnsi="Trebuchet MS"/>
        </w:rPr>
        <w:t xml:space="preserve">Die in Anlage 2 zu § 9 vorgesehene Abfrage, ob es spezielle Bedienungshilfen für </w:t>
      </w:r>
    </w:p>
    <w:p w:rsidR="00CE59F3" w:rsidRPr="00CE59F3" w:rsidRDefault="004248A6" w:rsidP="00CE59F3">
      <w:pPr>
        <w:spacing w:line="360" w:lineRule="auto"/>
        <w:rPr>
          <w:rFonts w:ascii="Trebuchet MS" w:hAnsi="Trebuchet MS"/>
        </w:rPr>
      </w:pPr>
      <w:r w:rsidRPr="00CE59F3">
        <w:rPr>
          <w:rFonts w:ascii="Trebuchet MS" w:hAnsi="Trebuchet MS"/>
        </w:rPr>
        <w:t xml:space="preserve">behinderte Menschen gibt, ist insoweit </w:t>
      </w:r>
      <w:r w:rsidR="001C3A0E">
        <w:rPr>
          <w:rFonts w:ascii="Trebuchet MS" w:hAnsi="Trebuchet MS"/>
        </w:rPr>
        <w:t xml:space="preserve">bereits deswegen </w:t>
      </w:r>
      <w:r w:rsidRPr="00CE59F3">
        <w:rPr>
          <w:rFonts w:ascii="Trebuchet MS" w:hAnsi="Trebuchet MS"/>
        </w:rPr>
        <w:t>unzureichend</w:t>
      </w:r>
      <w:r w:rsidR="0013637E" w:rsidRPr="00CE59F3">
        <w:rPr>
          <w:rFonts w:ascii="Trebuchet MS" w:hAnsi="Trebuchet MS"/>
        </w:rPr>
        <w:t>, da dadurch nur eine Abfrage erfolgt und keine Maßgaben festgelegt werden.</w:t>
      </w:r>
      <w:r w:rsidR="00CE59F3" w:rsidRPr="00CE59F3">
        <w:rPr>
          <w:rFonts w:ascii="Trebuchet MS" w:hAnsi="Trebuchet MS"/>
        </w:rPr>
        <w:t xml:space="preserve"> Zudem ist – wie auch schon beim Datenschutz – wiederum das Problem, dass die Barrierefreiheit nicht vom BfArM überprüft, sondern nur im Wege der Herstellerabfrage eruiert wird.</w:t>
      </w:r>
      <w:r w:rsidRPr="00CE59F3">
        <w:rPr>
          <w:rFonts w:ascii="Trebuchet MS" w:hAnsi="Trebuchet MS"/>
        </w:rPr>
        <w:t xml:space="preserve"> </w:t>
      </w:r>
    </w:p>
    <w:p w:rsidR="00CE59F3" w:rsidRPr="00CE59F3" w:rsidRDefault="00CE59F3" w:rsidP="00CE59F3">
      <w:pPr>
        <w:spacing w:line="360" w:lineRule="auto"/>
        <w:rPr>
          <w:rFonts w:ascii="Trebuchet MS" w:hAnsi="Trebuchet MS"/>
        </w:rPr>
      </w:pPr>
    </w:p>
    <w:p w:rsidR="00CE59F3" w:rsidRPr="00CE59F3" w:rsidRDefault="00CE59F3" w:rsidP="00CE59F3">
      <w:pPr>
        <w:spacing w:line="360" w:lineRule="auto"/>
        <w:rPr>
          <w:rFonts w:ascii="Trebuchet MS" w:hAnsi="Trebuchet MS"/>
        </w:rPr>
      </w:pPr>
      <w:r w:rsidRPr="00CE59F3">
        <w:rPr>
          <w:rFonts w:ascii="Trebuchet MS" w:hAnsi="Trebuchet MS"/>
        </w:rPr>
        <w:lastRenderedPageBreak/>
        <w:t>Daher</w:t>
      </w:r>
      <w:r w:rsidR="004248A6" w:rsidRPr="00CE59F3">
        <w:rPr>
          <w:rFonts w:ascii="Trebuchet MS" w:hAnsi="Trebuchet MS"/>
        </w:rPr>
        <w:t xml:space="preserve"> müssen </w:t>
      </w:r>
      <w:r w:rsidR="0013637E" w:rsidRPr="00CE59F3">
        <w:rPr>
          <w:rFonts w:ascii="Trebuchet MS" w:hAnsi="Trebuchet MS"/>
        </w:rPr>
        <w:t xml:space="preserve">aus der Sicht der BAG SELBSTHILFE </w:t>
      </w:r>
      <w:r w:rsidRPr="00CE59F3">
        <w:rPr>
          <w:rFonts w:ascii="Trebuchet MS" w:hAnsi="Trebuchet MS"/>
        </w:rPr>
        <w:t xml:space="preserve">zum einen </w:t>
      </w:r>
      <w:r w:rsidR="0013637E" w:rsidRPr="00CE59F3">
        <w:rPr>
          <w:rFonts w:ascii="Trebuchet MS" w:hAnsi="Trebuchet MS"/>
        </w:rPr>
        <w:t xml:space="preserve">bereits </w:t>
      </w:r>
      <w:r w:rsidR="004248A6" w:rsidRPr="00CE59F3">
        <w:rPr>
          <w:rFonts w:ascii="Trebuchet MS" w:hAnsi="Trebuchet MS"/>
        </w:rPr>
        <w:t>im Verordnungstext unter Berücksichtigung der einschlägigen technischen Standards konkrete Anforderungen an die Barrierefreiheit aufgenommen werden</w:t>
      </w:r>
      <w:r w:rsidR="0013637E" w:rsidRPr="00CE59F3">
        <w:rPr>
          <w:rFonts w:ascii="Trebuchet MS" w:hAnsi="Trebuchet MS"/>
        </w:rPr>
        <w:t xml:space="preserve">. Auch bzgl. der </w:t>
      </w:r>
      <w:r w:rsidR="001C3A0E">
        <w:rPr>
          <w:rFonts w:ascii="Trebuchet MS" w:hAnsi="Trebuchet MS"/>
        </w:rPr>
        <w:t xml:space="preserve">in </w:t>
      </w:r>
      <w:r w:rsidR="0013637E" w:rsidRPr="00CE59F3">
        <w:rPr>
          <w:rFonts w:ascii="Trebuchet MS" w:hAnsi="Trebuchet MS"/>
        </w:rPr>
        <w:t xml:space="preserve">Anlage 2 </w:t>
      </w:r>
      <w:r w:rsidR="001C3A0E">
        <w:rPr>
          <w:rFonts w:ascii="Trebuchet MS" w:hAnsi="Trebuchet MS"/>
        </w:rPr>
        <w:t xml:space="preserve">vorgesehenen Anforderungen </w:t>
      </w:r>
      <w:r w:rsidR="0013637E" w:rsidRPr="00CE59F3">
        <w:rPr>
          <w:rFonts w:ascii="Trebuchet MS" w:hAnsi="Trebuchet MS"/>
        </w:rPr>
        <w:t>müssten detailliertere Maßgaben abgefragt werden. Zu beidem hat unser Mitgliedsverband, der Deutsche Blinden- und Sehbehindertenverband</w:t>
      </w:r>
      <w:r w:rsidR="001C3A0E">
        <w:rPr>
          <w:rFonts w:ascii="Trebuchet MS" w:hAnsi="Trebuchet MS"/>
        </w:rPr>
        <w:t xml:space="preserve"> e.V. (DBSV)</w:t>
      </w:r>
      <w:r w:rsidR="0013637E" w:rsidRPr="00CE59F3">
        <w:rPr>
          <w:rFonts w:ascii="Trebuchet MS" w:hAnsi="Trebuchet MS"/>
        </w:rPr>
        <w:t xml:space="preserve"> entsprechende Vorschläge erarbeitet, die wir ausdrücklich unterstützen.</w:t>
      </w:r>
    </w:p>
    <w:p w:rsidR="00CE59F3" w:rsidRPr="00CE59F3" w:rsidRDefault="00CE59F3" w:rsidP="00CE59F3">
      <w:pPr>
        <w:spacing w:line="360" w:lineRule="auto"/>
        <w:rPr>
          <w:rFonts w:ascii="Trebuchet MS" w:hAnsi="Trebuchet MS"/>
        </w:rPr>
      </w:pPr>
    </w:p>
    <w:p w:rsidR="00CE59F3" w:rsidRPr="00CE59F3" w:rsidRDefault="00CE59F3" w:rsidP="00CE59F3">
      <w:pPr>
        <w:spacing w:line="360" w:lineRule="auto"/>
        <w:rPr>
          <w:rFonts w:ascii="Trebuchet MS" w:hAnsi="Trebuchet MS"/>
        </w:rPr>
      </w:pPr>
      <w:r w:rsidRPr="00CE59F3">
        <w:rPr>
          <w:rFonts w:ascii="Trebuchet MS" w:hAnsi="Trebuchet MS"/>
        </w:rPr>
        <w:t>Zum anderen müsste dem BfArM auch bei der Barrierefreiheit auferlegt werden, diese in Zusammenarbeit mit den Betroffenen bzw. Betroffenenorganisationen konkret auf ihr Vorhandensein zu überprüfen.</w:t>
      </w:r>
      <w:r w:rsidR="003363EE">
        <w:rPr>
          <w:rFonts w:ascii="Trebuchet MS" w:hAnsi="Trebuchet MS"/>
        </w:rPr>
        <w:t xml:space="preserve"> </w:t>
      </w:r>
      <w:r w:rsidRPr="00CE59F3">
        <w:rPr>
          <w:rFonts w:ascii="Trebuchet MS" w:hAnsi="Trebuchet MS"/>
        </w:rPr>
        <w:t>Denn auch bei der in Anlage 2 vorgesehenen Nutzertestung ist nicht klar geregelt, dass diese Tests auch zu einer positiven Nutzertestung geführt haben müssen.</w:t>
      </w:r>
    </w:p>
    <w:p w:rsidR="004248A6" w:rsidRPr="00CE59F3" w:rsidRDefault="004248A6" w:rsidP="00CE59F3">
      <w:pPr>
        <w:spacing w:line="360" w:lineRule="auto"/>
        <w:rPr>
          <w:rFonts w:ascii="Trebuchet MS" w:hAnsi="Trebuchet MS"/>
        </w:rPr>
      </w:pPr>
    </w:p>
    <w:p w:rsidR="00CE59F3" w:rsidRPr="0049782C" w:rsidRDefault="00D972D6" w:rsidP="00D972D6">
      <w:pPr>
        <w:pStyle w:val="Listenabsatz"/>
        <w:numPr>
          <w:ilvl w:val="0"/>
          <w:numId w:val="20"/>
        </w:numPr>
        <w:spacing w:line="360" w:lineRule="auto"/>
        <w:rPr>
          <w:rFonts w:ascii="Trebuchet MS" w:hAnsi="Trebuchet MS"/>
          <w:b/>
        </w:rPr>
      </w:pPr>
      <w:r w:rsidRPr="0049782C">
        <w:rPr>
          <w:rFonts w:ascii="Trebuchet MS" w:hAnsi="Trebuchet MS"/>
          <w:b/>
        </w:rPr>
        <w:t xml:space="preserve">Positive Versorgungseffekte (§ 14 </w:t>
      </w:r>
      <w:proofErr w:type="spellStart"/>
      <w:r w:rsidRPr="0049782C">
        <w:rPr>
          <w:rFonts w:ascii="Trebuchet MS" w:hAnsi="Trebuchet MS"/>
          <w:b/>
        </w:rPr>
        <w:t>D</w:t>
      </w:r>
      <w:r w:rsidR="008F00F5">
        <w:rPr>
          <w:rFonts w:ascii="Trebuchet MS" w:hAnsi="Trebuchet MS"/>
          <w:b/>
        </w:rPr>
        <w:t>i</w:t>
      </w:r>
      <w:r w:rsidRPr="0049782C">
        <w:rPr>
          <w:rFonts w:ascii="Trebuchet MS" w:hAnsi="Trebuchet MS"/>
          <w:b/>
        </w:rPr>
        <w:t>GAV</w:t>
      </w:r>
      <w:proofErr w:type="spellEnd"/>
      <w:r w:rsidRPr="0049782C">
        <w:rPr>
          <w:rFonts w:ascii="Trebuchet MS" w:hAnsi="Trebuchet MS"/>
          <w:b/>
        </w:rPr>
        <w:t>)</w:t>
      </w:r>
    </w:p>
    <w:p w:rsidR="00D972D6" w:rsidRDefault="00D972D6" w:rsidP="00D972D6">
      <w:pPr>
        <w:spacing w:line="360" w:lineRule="auto"/>
        <w:rPr>
          <w:rFonts w:ascii="Trebuchet MS" w:hAnsi="Trebuchet MS"/>
        </w:rPr>
      </w:pPr>
    </w:p>
    <w:p w:rsidR="00D972D6" w:rsidRDefault="00D972D6" w:rsidP="00D972D6">
      <w:pPr>
        <w:spacing w:line="360" w:lineRule="auto"/>
        <w:rPr>
          <w:rFonts w:ascii="Trebuchet MS" w:hAnsi="Trebuchet MS"/>
        </w:rPr>
      </w:pPr>
      <w:r>
        <w:rPr>
          <w:rFonts w:ascii="Trebuchet MS" w:hAnsi="Trebuchet MS"/>
        </w:rPr>
        <w:t>Seitens der BAG SELBSTHILFE wird die Ausgestaltung des § 14 begrüßt; insbesondere wird es sehr positiv gesehen, dass die Belange von Angehörigen bei der Feststellung von positiven Versorgungseffekten berücksichtigt werden können.</w:t>
      </w:r>
    </w:p>
    <w:p w:rsidR="00D972D6" w:rsidRDefault="00D972D6" w:rsidP="00D972D6">
      <w:pPr>
        <w:spacing w:line="360" w:lineRule="auto"/>
        <w:rPr>
          <w:rFonts w:ascii="Trebuchet MS" w:hAnsi="Trebuchet MS"/>
        </w:rPr>
      </w:pPr>
    </w:p>
    <w:p w:rsidR="00D972D6" w:rsidRPr="003363EE" w:rsidRDefault="00D972D6" w:rsidP="00D972D6">
      <w:pPr>
        <w:pStyle w:val="Listenabsatz"/>
        <w:numPr>
          <w:ilvl w:val="0"/>
          <w:numId w:val="20"/>
        </w:numPr>
        <w:spacing w:line="360" w:lineRule="auto"/>
        <w:rPr>
          <w:rFonts w:ascii="Trebuchet MS" w:hAnsi="Trebuchet MS"/>
          <w:b/>
        </w:rPr>
      </w:pPr>
      <w:r w:rsidRPr="003363EE">
        <w:rPr>
          <w:rFonts w:ascii="Trebuchet MS" w:hAnsi="Trebuchet MS"/>
          <w:b/>
        </w:rPr>
        <w:t>Darlegung positiver Versorgungseffekte (</w:t>
      </w:r>
      <w:r w:rsidR="003363EE">
        <w:rPr>
          <w:rFonts w:ascii="Trebuchet MS" w:hAnsi="Trebuchet MS"/>
          <w:b/>
        </w:rPr>
        <w:t xml:space="preserve">§ </w:t>
      </w:r>
      <w:r w:rsidRPr="003363EE">
        <w:rPr>
          <w:rFonts w:ascii="Trebuchet MS" w:hAnsi="Trebuchet MS"/>
          <w:b/>
        </w:rPr>
        <w:t xml:space="preserve">15 </w:t>
      </w:r>
      <w:r w:rsidR="003363EE">
        <w:rPr>
          <w:rFonts w:ascii="Trebuchet MS" w:hAnsi="Trebuchet MS"/>
          <w:b/>
        </w:rPr>
        <w:t xml:space="preserve">Abs. 3 </w:t>
      </w:r>
      <w:proofErr w:type="spellStart"/>
      <w:r w:rsidRPr="003363EE">
        <w:rPr>
          <w:rFonts w:ascii="Trebuchet MS" w:hAnsi="Trebuchet MS"/>
          <w:b/>
        </w:rPr>
        <w:t>D</w:t>
      </w:r>
      <w:r w:rsidR="008F00F5">
        <w:rPr>
          <w:rFonts w:ascii="Trebuchet MS" w:hAnsi="Trebuchet MS"/>
          <w:b/>
        </w:rPr>
        <w:t>i</w:t>
      </w:r>
      <w:r w:rsidRPr="003363EE">
        <w:rPr>
          <w:rFonts w:ascii="Trebuchet MS" w:hAnsi="Trebuchet MS"/>
          <w:b/>
        </w:rPr>
        <w:t>GAV</w:t>
      </w:r>
      <w:proofErr w:type="spellEnd"/>
      <w:r w:rsidRPr="003363EE">
        <w:rPr>
          <w:rFonts w:ascii="Trebuchet MS" w:hAnsi="Trebuchet MS"/>
          <w:b/>
        </w:rPr>
        <w:t>)</w:t>
      </w:r>
    </w:p>
    <w:p w:rsidR="0049782C" w:rsidRDefault="0049782C" w:rsidP="00D972D6">
      <w:pPr>
        <w:spacing w:line="360" w:lineRule="auto"/>
        <w:rPr>
          <w:rFonts w:ascii="Trebuchet MS" w:hAnsi="Trebuchet MS"/>
        </w:rPr>
      </w:pPr>
    </w:p>
    <w:p w:rsidR="00D972D6" w:rsidRDefault="003363EE" w:rsidP="00D972D6">
      <w:pPr>
        <w:spacing w:line="360" w:lineRule="auto"/>
        <w:rPr>
          <w:rFonts w:ascii="Trebuchet MS" w:hAnsi="Trebuchet MS"/>
        </w:rPr>
      </w:pPr>
      <w:r>
        <w:rPr>
          <w:rFonts w:ascii="Trebuchet MS" w:hAnsi="Trebuchet MS"/>
        </w:rPr>
        <w:t>Aus der Sicht der BAG SELBSTHILFE kann die Bestimmung einer Patientengruppe durch den ICD 10 in manchen Fällen zu unpräzise sein, etwa wenn sich die digitale Gesundheitsanwendung an Erkrankte eines bestimmten Alters richtet. Vor diesem Hintergrund sollten weitere Eingrenzungen möglich sein.</w:t>
      </w:r>
    </w:p>
    <w:p w:rsidR="00716875" w:rsidRDefault="00716875" w:rsidP="00D972D6">
      <w:pPr>
        <w:spacing w:line="360" w:lineRule="auto"/>
        <w:rPr>
          <w:rFonts w:ascii="Trebuchet MS" w:hAnsi="Trebuchet MS"/>
        </w:rPr>
      </w:pPr>
    </w:p>
    <w:p w:rsidR="003363EE" w:rsidRPr="00716875" w:rsidRDefault="00716875" w:rsidP="00D972D6">
      <w:pPr>
        <w:spacing w:line="360" w:lineRule="auto"/>
        <w:rPr>
          <w:rFonts w:ascii="Trebuchet MS" w:hAnsi="Trebuchet MS"/>
          <w:szCs w:val="22"/>
        </w:rPr>
      </w:pPr>
      <w:r w:rsidRPr="00716875">
        <w:rPr>
          <w:rFonts w:ascii="Trebuchet MS" w:hAnsi="Trebuchet MS"/>
        </w:rPr>
        <w:t>§15</w:t>
      </w:r>
      <w:r>
        <w:rPr>
          <w:rFonts w:ascii="Trebuchet MS" w:hAnsi="Trebuchet MS"/>
        </w:rPr>
        <w:t xml:space="preserve"> Abs. 3</w:t>
      </w:r>
      <w:r w:rsidRPr="00716875">
        <w:rPr>
          <w:rFonts w:ascii="Trebuchet MS" w:hAnsi="Trebuchet MS"/>
        </w:rPr>
        <w:t xml:space="preserve"> berücksichtigt </w:t>
      </w:r>
      <w:r>
        <w:rPr>
          <w:rFonts w:ascii="Trebuchet MS" w:hAnsi="Trebuchet MS"/>
        </w:rPr>
        <w:t xml:space="preserve">beispielsweise </w:t>
      </w:r>
      <w:r w:rsidRPr="00716875">
        <w:rPr>
          <w:rFonts w:ascii="Trebuchet MS" w:hAnsi="Trebuchet MS"/>
        </w:rPr>
        <w:t>nicht die besondere Situation bei Patienten mit S</w:t>
      </w:r>
      <w:r>
        <w:rPr>
          <w:rFonts w:ascii="Trebuchet MS" w:hAnsi="Trebuchet MS"/>
        </w:rPr>
        <w:t>eltenen Erkrankungen (SE)</w:t>
      </w:r>
      <w:r w:rsidRPr="00716875">
        <w:rPr>
          <w:rFonts w:ascii="Trebuchet MS" w:hAnsi="Trebuchet MS"/>
        </w:rPr>
        <w:t xml:space="preserve">. </w:t>
      </w:r>
      <w:r>
        <w:rPr>
          <w:rFonts w:ascii="Trebuchet MS" w:hAnsi="Trebuchet MS"/>
        </w:rPr>
        <w:t>Diese</w:t>
      </w:r>
      <w:r w:rsidRPr="00716875">
        <w:rPr>
          <w:rFonts w:ascii="Trebuchet MS" w:hAnsi="Trebuchet MS"/>
        </w:rPr>
        <w:t xml:space="preserve"> sind im ICD 10 GM nicht ausreichend abgebildet, sodass bei einer alleinigen Bezugnahme auf den ICD 10 GM die Mehrzahl der SE nicht sichtbar wird. Es ist daher erforderlich, dass bei Vorliegen einer SE die Kodierung mittels ICD-10 GM, Alpha-ID SE und </w:t>
      </w:r>
      <w:proofErr w:type="spellStart"/>
      <w:r w:rsidRPr="00716875">
        <w:rPr>
          <w:rFonts w:ascii="Trebuchet MS" w:hAnsi="Trebuchet MS"/>
        </w:rPr>
        <w:t>Orphanet</w:t>
      </w:r>
      <w:proofErr w:type="spellEnd"/>
      <w:r w:rsidRPr="00716875">
        <w:rPr>
          <w:rFonts w:ascii="Trebuchet MS" w:hAnsi="Trebuchet MS"/>
        </w:rPr>
        <w:t>-Kennnummer erfolgen muss. Dies wurde schon in verschiedenen Kontexten in der letzten Zeit adressiert, ganz aktuell bei der Festlegung der Qualitätsanforderungen und Besonderen Aufgaben für Zentren für Seltene Erkrankungen durch den G-BA.</w:t>
      </w:r>
      <w:bookmarkStart w:id="0" w:name="_GoBack"/>
      <w:bookmarkEnd w:id="0"/>
    </w:p>
    <w:p w:rsidR="00D972D6" w:rsidRPr="003363EE" w:rsidRDefault="00D972D6" w:rsidP="00D972D6">
      <w:pPr>
        <w:pStyle w:val="Listenabsatz"/>
        <w:numPr>
          <w:ilvl w:val="0"/>
          <w:numId w:val="20"/>
        </w:numPr>
        <w:spacing w:line="360" w:lineRule="auto"/>
        <w:rPr>
          <w:rFonts w:ascii="Trebuchet MS" w:hAnsi="Trebuchet MS"/>
          <w:b/>
        </w:rPr>
      </w:pPr>
      <w:r w:rsidRPr="003363EE">
        <w:rPr>
          <w:rFonts w:ascii="Trebuchet MS" w:hAnsi="Trebuchet MS"/>
          <w:b/>
        </w:rPr>
        <w:lastRenderedPageBreak/>
        <w:t xml:space="preserve">Einzureichende Studien (§ 16 </w:t>
      </w:r>
      <w:proofErr w:type="spellStart"/>
      <w:r w:rsidRPr="003363EE">
        <w:rPr>
          <w:rFonts w:ascii="Trebuchet MS" w:hAnsi="Trebuchet MS"/>
          <w:b/>
        </w:rPr>
        <w:t>D</w:t>
      </w:r>
      <w:r w:rsidR="008F00F5">
        <w:rPr>
          <w:rFonts w:ascii="Trebuchet MS" w:hAnsi="Trebuchet MS"/>
          <w:b/>
        </w:rPr>
        <w:t>i</w:t>
      </w:r>
      <w:r w:rsidRPr="003363EE">
        <w:rPr>
          <w:rFonts w:ascii="Trebuchet MS" w:hAnsi="Trebuchet MS"/>
          <w:b/>
        </w:rPr>
        <w:t>GAV</w:t>
      </w:r>
      <w:proofErr w:type="spellEnd"/>
      <w:r w:rsidRPr="003363EE">
        <w:rPr>
          <w:rFonts w:ascii="Trebuchet MS" w:hAnsi="Trebuchet MS"/>
          <w:b/>
        </w:rPr>
        <w:t>)</w:t>
      </w:r>
    </w:p>
    <w:p w:rsidR="003363EE" w:rsidRDefault="003363EE" w:rsidP="00D972D6">
      <w:pPr>
        <w:spacing w:line="360" w:lineRule="auto"/>
        <w:rPr>
          <w:rFonts w:ascii="Trebuchet MS" w:hAnsi="Trebuchet MS"/>
        </w:rPr>
      </w:pPr>
    </w:p>
    <w:p w:rsidR="00D972D6" w:rsidRDefault="00D972D6" w:rsidP="00D972D6">
      <w:pPr>
        <w:spacing w:line="360" w:lineRule="auto"/>
        <w:rPr>
          <w:rFonts w:ascii="Trebuchet MS" w:hAnsi="Trebuchet MS"/>
        </w:rPr>
      </w:pPr>
      <w:r w:rsidRPr="00D972D6">
        <w:rPr>
          <w:rFonts w:ascii="Trebuchet MS" w:hAnsi="Trebuchet MS"/>
        </w:rPr>
        <w:t>Angesichts dessen, dass es sich um DIGAVs mit niedrigem Risikopotential und niedriger Risikoklasse handelt, wird die Anforderung einer vergleichenden Studie für sachgerecht erachtet.</w:t>
      </w:r>
      <w:r w:rsidR="003363EE">
        <w:rPr>
          <w:rFonts w:ascii="Trebuchet MS" w:hAnsi="Trebuchet MS"/>
        </w:rPr>
        <w:t xml:space="preserve"> Auch die Verpflichtung zur Veröffentlichung der Studien wird begrüßt.</w:t>
      </w:r>
    </w:p>
    <w:p w:rsidR="003363EE" w:rsidRPr="00D972D6" w:rsidRDefault="003363EE" w:rsidP="00D972D6">
      <w:pPr>
        <w:spacing w:line="360" w:lineRule="auto"/>
        <w:rPr>
          <w:rFonts w:ascii="Trebuchet MS" w:hAnsi="Trebuchet MS"/>
        </w:rPr>
      </w:pPr>
      <w:r>
        <w:rPr>
          <w:rFonts w:ascii="Trebuchet MS" w:hAnsi="Trebuchet MS"/>
        </w:rPr>
        <w:t>Für ergänzungsbedürftig hält die BAG SELBSTHILFE jedoch den 2. Absatz: In der derzeitigen Fassung soll bei Studien, die außerhalb der EU durchgeführt wurden, die Übertragbarkeit der Ergebnisse auf den deutschen Versorgungskontext dargelegt werden. Da sich Versorgungssituation in Europa jedoch bereits zwischen den Ländern sehr unterscheidet, würde es die BAG SELBSTHILFE befürworten, wenn der Hersteller die Übertragbarkeit auf den deutschen Versorgungskontext generell bei Studien außerhalb Deutschlands darlegen würde bzw. die Verpflichtung hierzu erhielte.</w:t>
      </w:r>
    </w:p>
    <w:p w:rsidR="00CE59F3" w:rsidRPr="004248A6" w:rsidRDefault="00CE59F3" w:rsidP="004248A6">
      <w:pPr>
        <w:rPr>
          <w:rFonts w:ascii="Trebuchet MS" w:hAnsi="Trebuchet MS"/>
          <w:color w:val="4472C4"/>
        </w:rPr>
      </w:pPr>
    </w:p>
    <w:p w:rsidR="0049782C" w:rsidRDefault="0049782C" w:rsidP="00171BFC">
      <w:pPr>
        <w:pStyle w:val="Listenabsatz"/>
        <w:numPr>
          <w:ilvl w:val="0"/>
          <w:numId w:val="20"/>
        </w:numPr>
        <w:rPr>
          <w:rFonts w:ascii="Trebuchet MS" w:hAnsi="Trebuchet MS"/>
          <w:b/>
        </w:rPr>
      </w:pPr>
      <w:r>
        <w:rPr>
          <w:rFonts w:ascii="Trebuchet MS" w:hAnsi="Trebuchet MS"/>
          <w:b/>
        </w:rPr>
        <w:t>Anforderungen an Diagnostika (</w:t>
      </w:r>
      <w:r w:rsidR="00A02CA8">
        <w:rPr>
          <w:rFonts w:ascii="Trebuchet MS" w:hAnsi="Trebuchet MS"/>
          <w:b/>
        </w:rPr>
        <w:t xml:space="preserve">§ 17 </w:t>
      </w:r>
      <w:proofErr w:type="spellStart"/>
      <w:r w:rsidR="00A02CA8">
        <w:rPr>
          <w:rFonts w:ascii="Trebuchet MS" w:hAnsi="Trebuchet MS"/>
          <w:b/>
        </w:rPr>
        <w:t>D</w:t>
      </w:r>
      <w:r w:rsidR="008F00F5">
        <w:rPr>
          <w:rFonts w:ascii="Trebuchet MS" w:hAnsi="Trebuchet MS"/>
          <w:b/>
        </w:rPr>
        <w:t>i</w:t>
      </w:r>
      <w:r w:rsidR="00A02CA8">
        <w:rPr>
          <w:rFonts w:ascii="Trebuchet MS" w:hAnsi="Trebuchet MS"/>
          <w:b/>
        </w:rPr>
        <w:t>GAV</w:t>
      </w:r>
      <w:proofErr w:type="spellEnd"/>
      <w:r w:rsidR="00A02CA8">
        <w:rPr>
          <w:rFonts w:ascii="Trebuchet MS" w:hAnsi="Trebuchet MS"/>
          <w:b/>
        </w:rPr>
        <w:t>)</w:t>
      </w:r>
    </w:p>
    <w:p w:rsidR="00A02CA8" w:rsidRDefault="00A02CA8" w:rsidP="00A02CA8">
      <w:pPr>
        <w:rPr>
          <w:rFonts w:ascii="Trebuchet MS" w:hAnsi="Trebuchet MS"/>
          <w:b/>
        </w:rPr>
      </w:pPr>
    </w:p>
    <w:p w:rsidR="00A02CA8" w:rsidRPr="00A02CA8" w:rsidRDefault="00A02CA8" w:rsidP="00A02CA8">
      <w:pPr>
        <w:spacing w:line="360" w:lineRule="auto"/>
        <w:rPr>
          <w:rFonts w:ascii="Trebuchet MS" w:hAnsi="Trebuchet MS"/>
        </w:rPr>
      </w:pPr>
      <w:r w:rsidRPr="00A02CA8">
        <w:rPr>
          <w:rFonts w:ascii="Trebuchet MS" w:hAnsi="Trebuchet MS"/>
        </w:rPr>
        <w:t xml:space="preserve">Die BAG SELBSTHILFE hält es für sachgerecht, den Nutzen eines Diagnostikums an der </w:t>
      </w:r>
      <w:proofErr w:type="spellStart"/>
      <w:r w:rsidRPr="00A02CA8">
        <w:rPr>
          <w:rFonts w:ascii="Trebuchet MS" w:hAnsi="Trebuchet MS"/>
        </w:rPr>
        <w:t>Testgüte</w:t>
      </w:r>
      <w:proofErr w:type="spellEnd"/>
      <w:r w:rsidRPr="00A02CA8">
        <w:rPr>
          <w:rFonts w:ascii="Trebuchet MS" w:hAnsi="Trebuchet MS"/>
        </w:rPr>
        <w:t xml:space="preserve"> festzumachen. Sinn und Zweck eines Diagnostikums ist nun einmal, eine Erkrankung besser</w:t>
      </w:r>
      <w:r w:rsidR="00893A63">
        <w:rPr>
          <w:rFonts w:ascii="Trebuchet MS" w:hAnsi="Trebuchet MS"/>
        </w:rPr>
        <w:t xml:space="preserve"> und genauer</w:t>
      </w:r>
      <w:r w:rsidRPr="00A02CA8">
        <w:rPr>
          <w:rFonts w:ascii="Trebuchet MS" w:hAnsi="Trebuchet MS"/>
        </w:rPr>
        <w:t xml:space="preserve"> zu diagnostizieren</w:t>
      </w:r>
      <w:r w:rsidR="00893A63">
        <w:rPr>
          <w:rFonts w:ascii="Trebuchet MS" w:hAnsi="Trebuchet MS"/>
        </w:rPr>
        <w:t xml:space="preserve"> und nicht die Mor</w:t>
      </w:r>
      <w:r w:rsidR="001C3A0E">
        <w:rPr>
          <w:rFonts w:ascii="Trebuchet MS" w:hAnsi="Trebuchet MS"/>
        </w:rPr>
        <w:t>talität</w:t>
      </w:r>
      <w:r w:rsidR="00893A63">
        <w:rPr>
          <w:rFonts w:ascii="Trebuchet MS" w:hAnsi="Trebuchet MS"/>
        </w:rPr>
        <w:t xml:space="preserve"> am Ende einer langen Behandlungskette zu verändern; auch § 135 SGB V unterscheidet zwischen therapeutischen und diagnostischen Nutzen</w:t>
      </w:r>
      <w:r w:rsidRPr="00A02CA8">
        <w:rPr>
          <w:rFonts w:ascii="Trebuchet MS" w:hAnsi="Trebuchet MS"/>
        </w:rPr>
        <w:t xml:space="preserve">. </w:t>
      </w:r>
    </w:p>
    <w:p w:rsidR="00A02CA8" w:rsidRPr="00A02CA8" w:rsidRDefault="00A02CA8" w:rsidP="00A02CA8">
      <w:pPr>
        <w:spacing w:line="360" w:lineRule="auto"/>
        <w:rPr>
          <w:rFonts w:ascii="Trebuchet MS" w:hAnsi="Trebuchet MS"/>
        </w:rPr>
      </w:pPr>
    </w:p>
    <w:p w:rsidR="00A02CA8" w:rsidRDefault="00A02CA8" w:rsidP="00A02CA8">
      <w:pPr>
        <w:spacing w:line="360" w:lineRule="auto"/>
        <w:rPr>
          <w:rFonts w:ascii="Trebuchet MS" w:hAnsi="Trebuchet MS"/>
        </w:rPr>
      </w:pPr>
      <w:r w:rsidRPr="00A02CA8">
        <w:rPr>
          <w:rFonts w:ascii="Trebuchet MS" w:hAnsi="Trebuchet MS"/>
        </w:rPr>
        <w:t xml:space="preserve">Gleichzeitig </w:t>
      </w:r>
      <w:r w:rsidR="00893A63">
        <w:rPr>
          <w:rFonts w:ascii="Trebuchet MS" w:hAnsi="Trebuchet MS"/>
        </w:rPr>
        <w:t>hält</w:t>
      </w:r>
      <w:r w:rsidRPr="00A02CA8">
        <w:rPr>
          <w:rFonts w:ascii="Trebuchet MS" w:hAnsi="Trebuchet MS"/>
        </w:rPr>
        <w:t xml:space="preserve"> auch die BAG SELBSTHILFE </w:t>
      </w:r>
      <w:r w:rsidR="00893A63">
        <w:rPr>
          <w:rFonts w:ascii="Trebuchet MS" w:hAnsi="Trebuchet MS"/>
        </w:rPr>
        <w:t>Test</w:t>
      </w:r>
      <w:r w:rsidR="001C3A0E">
        <w:rPr>
          <w:rFonts w:ascii="Trebuchet MS" w:hAnsi="Trebuchet MS"/>
        </w:rPr>
        <w:t>s</w:t>
      </w:r>
      <w:r w:rsidR="00893A63">
        <w:rPr>
          <w:rFonts w:ascii="Trebuchet MS" w:hAnsi="Trebuchet MS"/>
        </w:rPr>
        <w:t xml:space="preserve"> für schwierig,</w:t>
      </w:r>
      <w:r w:rsidRPr="00A02CA8">
        <w:rPr>
          <w:rFonts w:ascii="Trebuchet MS" w:hAnsi="Trebuchet MS"/>
        </w:rPr>
        <w:t xml:space="preserve"> bei denen der Wert des Tests </w:t>
      </w:r>
      <w:r w:rsidR="00893A63">
        <w:rPr>
          <w:rFonts w:ascii="Trebuchet MS" w:hAnsi="Trebuchet MS"/>
        </w:rPr>
        <w:t xml:space="preserve">für den Patienten </w:t>
      </w:r>
      <w:r w:rsidRPr="00A02CA8">
        <w:rPr>
          <w:rFonts w:ascii="Trebuchet MS" w:hAnsi="Trebuchet MS"/>
        </w:rPr>
        <w:t>völlig unklar ist. Dies bedeutet allerdings nicht, dass Tests nicht erstattungsfähig s</w:t>
      </w:r>
      <w:r w:rsidR="001C3A0E">
        <w:rPr>
          <w:rFonts w:ascii="Trebuchet MS" w:hAnsi="Trebuchet MS"/>
        </w:rPr>
        <w:t>ein sollten</w:t>
      </w:r>
      <w:r w:rsidRPr="00A02CA8">
        <w:rPr>
          <w:rFonts w:ascii="Trebuchet MS" w:hAnsi="Trebuchet MS"/>
        </w:rPr>
        <w:t>, wenn keine Behandlungsoptionen zur Verfügung stehen. Denn auch nach den Grundsätzen der „</w:t>
      </w:r>
      <w:proofErr w:type="spellStart"/>
      <w:r w:rsidRPr="00A02CA8">
        <w:rPr>
          <w:rFonts w:ascii="Trebuchet MS" w:hAnsi="Trebuchet MS"/>
        </w:rPr>
        <w:t>linked</w:t>
      </w:r>
      <w:proofErr w:type="spellEnd"/>
      <w:r w:rsidRPr="00A02CA8">
        <w:rPr>
          <w:rFonts w:ascii="Trebuchet MS" w:hAnsi="Trebuchet MS"/>
        </w:rPr>
        <w:t xml:space="preserve"> </w:t>
      </w:r>
      <w:proofErr w:type="spellStart"/>
      <w:r w:rsidRPr="00A02CA8">
        <w:rPr>
          <w:rFonts w:ascii="Trebuchet MS" w:hAnsi="Trebuchet MS"/>
        </w:rPr>
        <w:t>Evidence</w:t>
      </w:r>
      <w:proofErr w:type="spellEnd"/>
      <w:r w:rsidRPr="00A02CA8">
        <w:rPr>
          <w:rFonts w:ascii="Trebuchet MS" w:hAnsi="Trebuchet MS"/>
        </w:rPr>
        <w:t>“ können die Verringerung von testgebundenen Nebenwirkungen, der Ausschluss von Erkrankungen oder Verminderung von Angst und die Bestätigung einer Diagnose durch prognostische Informationen, die vermittelt werden, als „Wert“ eines Diagnostikums in Frage kommen.</w:t>
      </w:r>
      <w:r w:rsidR="00893A63">
        <w:rPr>
          <w:rStyle w:val="Funotenzeichen"/>
          <w:rFonts w:ascii="Trebuchet MS" w:hAnsi="Trebuchet MS"/>
        </w:rPr>
        <w:footnoteReference w:id="1"/>
      </w:r>
      <w:r w:rsidR="00893A63">
        <w:rPr>
          <w:rFonts w:ascii="Trebuchet MS" w:hAnsi="Trebuchet MS"/>
        </w:rPr>
        <w:t xml:space="preserve"> Insoweit könnte man hier evtl. in der Begründung eine Passage aufnehmen, nach denen die Grundsätze der </w:t>
      </w:r>
      <w:proofErr w:type="spellStart"/>
      <w:r w:rsidR="00893A63">
        <w:rPr>
          <w:rFonts w:ascii="Trebuchet MS" w:hAnsi="Trebuchet MS"/>
        </w:rPr>
        <w:t>linked</w:t>
      </w:r>
      <w:proofErr w:type="spellEnd"/>
      <w:r w:rsidR="00893A63">
        <w:rPr>
          <w:rFonts w:ascii="Trebuchet MS" w:hAnsi="Trebuchet MS"/>
        </w:rPr>
        <w:t xml:space="preserve"> </w:t>
      </w:r>
      <w:proofErr w:type="spellStart"/>
      <w:r w:rsidR="00893A63">
        <w:rPr>
          <w:rFonts w:ascii="Trebuchet MS" w:hAnsi="Trebuchet MS"/>
        </w:rPr>
        <w:t>Evidence</w:t>
      </w:r>
      <w:proofErr w:type="spellEnd"/>
      <w:r w:rsidR="00893A63">
        <w:rPr>
          <w:rFonts w:ascii="Trebuchet MS" w:hAnsi="Trebuchet MS"/>
        </w:rPr>
        <w:t xml:space="preserve"> unter der Maßgabe herangezogen werden können, dass auch die Verminderung von Angst, der Erhalt einer zuverlässigen Diagnose, prognostische Informationen oder der Ausschluss von Erkrankungen einen hinreichenden Nutzen für Patient*innen bieten können.</w:t>
      </w:r>
    </w:p>
    <w:p w:rsidR="001C3A0E" w:rsidRDefault="001C3A0E" w:rsidP="00A02CA8">
      <w:pPr>
        <w:spacing w:line="360" w:lineRule="auto"/>
        <w:rPr>
          <w:rFonts w:ascii="Trebuchet MS" w:hAnsi="Trebuchet MS"/>
        </w:rPr>
      </w:pPr>
    </w:p>
    <w:p w:rsidR="001C3A0E" w:rsidRPr="001C3A0E" w:rsidRDefault="001C3A0E" w:rsidP="001C3A0E">
      <w:pPr>
        <w:pStyle w:val="Listenabsatz"/>
        <w:numPr>
          <w:ilvl w:val="0"/>
          <w:numId w:val="20"/>
        </w:numPr>
        <w:spacing w:line="360" w:lineRule="auto"/>
        <w:rPr>
          <w:rFonts w:ascii="Trebuchet MS" w:hAnsi="Trebuchet MS"/>
          <w:b/>
        </w:rPr>
      </w:pPr>
      <w:r w:rsidRPr="001C3A0E">
        <w:rPr>
          <w:rFonts w:ascii="Trebuchet MS" w:hAnsi="Trebuchet MS"/>
          <w:b/>
        </w:rPr>
        <w:t xml:space="preserve">Haftung für unpräzise Diagnostika (§ 17 </w:t>
      </w:r>
      <w:proofErr w:type="spellStart"/>
      <w:r w:rsidRPr="001C3A0E">
        <w:rPr>
          <w:rFonts w:ascii="Trebuchet MS" w:hAnsi="Trebuchet MS"/>
          <w:b/>
        </w:rPr>
        <w:t>D</w:t>
      </w:r>
      <w:r w:rsidR="008F00F5">
        <w:rPr>
          <w:rFonts w:ascii="Trebuchet MS" w:hAnsi="Trebuchet MS"/>
          <w:b/>
        </w:rPr>
        <w:t>i</w:t>
      </w:r>
      <w:r w:rsidRPr="001C3A0E">
        <w:rPr>
          <w:rFonts w:ascii="Trebuchet MS" w:hAnsi="Trebuchet MS"/>
          <w:b/>
        </w:rPr>
        <w:t>GAV</w:t>
      </w:r>
      <w:proofErr w:type="spellEnd"/>
      <w:r w:rsidRPr="001C3A0E">
        <w:rPr>
          <w:rFonts w:ascii="Trebuchet MS" w:hAnsi="Trebuchet MS"/>
          <w:b/>
        </w:rPr>
        <w:t>)</w:t>
      </w:r>
    </w:p>
    <w:p w:rsidR="00A02CA8" w:rsidRDefault="00A02CA8" w:rsidP="00A02CA8">
      <w:pPr>
        <w:rPr>
          <w:rFonts w:ascii="Trebuchet MS" w:hAnsi="Trebuchet MS"/>
          <w:b/>
        </w:rPr>
      </w:pPr>
    </w:p>
    <w:p w:rsidR="00893A63" w:rsidRPr="00893A63" w:rsidRDefault="00893A63" w:rsidP="00893A63">
      <w:pPr>
        <w:spacing w:line="360" w:lineRule="auto"/>
        <w:rPr>
          <w:rFonts w:ascii="Trebuchet MS" w:hAnsi="Trebuchet MS"/>
        </w:rPr>
      </w:pPr>
      <w:r w:rsidRPr="00893A63">
        <w:rPr>
          <w:rFonts w:ascii="Trebuchet MS" w:hAnsi="Trebuchet MS"/>
        </w:rPr>
        <w:t xml:space="preserve">Unklar bleibt </w:t>
      </w:r>
      <w:r w:rsidR="001C3A0E">
        <w:rPr>
          <w:rFonts w:ascii="Trebuchet MS" w:hAnsi="Trebuchet MS"/>
        </w:rPr>
        <w:t>aus der Sicht der BAG SELBSTHILFE</w:t>
      </w:r>
      <w:r w:rsidRPr="00893A63">
        <w:rPr>
          <w:rFonts w:ascii="Trebuchet MS" w:hAnsi="Trebuchet MS"/>
        </w:rPr>
        <w:t>, wer dem Patienten für unzureichende Diagnostika haftet, insbesondere auch, ob das BfArM als Anspruchsgegner in Betracht kommt. Es wird angeregt, hier entsprechende Regelungen zur Haftung am Ende der Verordnung aufzunehmen</w:t>
      </w:r>
      <w:r w:rsidR="001C3A0E">
        <w:rPr>
          <w:rFonts w:ascii="Trebuchet MS" w:hAnsi="Trebuchet MS"/>
        </w:rPr>
        <w:t xml:space="preserve">, insbesondere auch zum Umfang der Haftpflichtversicherung der Anbieter einer </w:t>
      </w:r>
      <w:proofErr w:type="spellStart"/>
      <w:r w:rsidR="001C3A0E">
        <w:rPr>
          <w:rFonts w:ascii="Trebuchet MS" w:hAnsi="Trebuchet MS"/>
        </w:rPr>
        <w:t>D</w:t>
      </w:r>
      <w:r w:rsidR="008F00F5">
        <w:rPr>
          <w:rFonts w:ascii="Trebuchet MS" w:hAnsi="Trebuchet MS"/>
        </w:rPr>
        <w:t>i</w:t>
      </w:r>
      <w:r w:rsidR="001C3A0E">
        <w:rPr>
          <w:rFonts w:ascii="Trebuchet MS" w:hAnsi="Trebuchet MS"/>
        </w:rPr>
        <w:t>GA</w:t>
      </w:r>
      <w:proofErr w:type="spellEnd"/>
      <w:r w:rsidR="001C3A0E">
        <w:rPr>
          <w:rFonts w:ascii="Trebuchet MS" w:hAnsi="Trebuchet MS"/>
        </w:rPr>
        <w:t>.</w:t>
      </w:r>
    </w:p>
    <w:p w:rsidR="00893A63" w:rsidRDefault="00893A63" w:rsidP="00893A63">
      <w:pPr>
        <w:rPr>
          <w:rFonts w:ascii="Trebuchet MS" w:hAnsi="Trebuchet MS"/>
          <w:b/>
        </w:rPr>
      </w:pPr>
    </w:p>
    <w:p w:rsidR="00323075" w:rsidRDefault="00323075" w:rsidP="00893A63">
      <w:pPr>
        <w:pStyle w:val="Listenabsatz"/>
        <w:numPr>
          <w:ilvl w:val="0"/>
          <w:numId w:val="20"/>
        </w:numPr>
        <w:rPr>
          <w:rFonts w:ascii="Trebuchet MS" w:hAnsi="Trebuchet MS"/>
          <w:b/>
        </w:rPr>
      </w:pPr>
      <w:r>
        <w:rPr>
          <w:rFonts w:ascii="Trebuchet MS" w:hAnsi="Trebuchet MS"/>
          <w:b/>
        </w:rPr>
        <w:t xml:space="preserve">Abwägungsentscheidung des BfArM (§ 18 Abs. 1 </w:t>
      </w:r>
      <w:proofErr w:type="spellStart"/>
      <w:r>
        <w:rPr>
          <w:rFonts w:ascii="Trebuchet MS" w:hAnsi="Trebuchet MS"/>
          <w:b/>
        </w:rPr>
        <w:t>D</w:t>
      </w:r>
      <w:r w:rsidR="008F00F5">
        <w:rPr>
          <w:rFonts w:ascii="Trebuchet MS" w:hAnsi="Trebuchet MS"/>
          <w:b/>
        </w:rPr>
        <w:t>i</w:t>
      </w:r>
      <w:r>
        <w:rPr>
          <w:rFonts w:ascii="Trebuchet MS" w:hAnsi="Trebuchet MS"/>
          <w:b/>
        </w:rPr>
        <w:t>GAV</w:t>
      </w:r>
      <w:proofErr w:type="spellEnd"/>
      <w:r>
        <w:rPr>
          <w:rFonts w:ascii="Trebuchet MS" w:hAnsi="Trebuchet MS"/>
          <w:b/>
        </w:rPr>
        <w:t>)</w:t>
      </w:r>
    </w:p>
    <w:p w:rsidR="00323075" w:rsidRDefault="00323075" w:rsidP="00323075">
      <w:pPr>
        <w:rPr>
          <w:rFonts w:ascii="Trebuchet MS" w:hAnsi="Trebuchet MS"/>
          <w:b/>
        </w:rPr>
      </w:pPr>
    </w:p>
    <w:p w:rsidR="00323075" w:rsidRPr="002E14CC" w:rsidRDefault="00323075" w:rsidP="002E14CC">
      <w:pPr>
        <w:spacing w:line="360" w:lineRule="auto"/>
        <w:rPr>
          <w:rFonts w:ascii="Trebuchet MS" w:hAnsi="Trebuchet MS"/>
        </w:rPr>
      </w:pPr>
      <w:r w:rsidRPr="002E14CC">
        <w:rPr>
          <w:rFonts w:ascii="Trebuchet MS" w:hAnsi="Trebuchet MS"/>
        </w:rPr>
        <w:t xml:space="preserve">Die BAG SELBSTHILFE begrüßt die vorgesehenen Maßgaben der Abwägungsentscheidung. Aus ihrer Sicht </w:t>
      </w:r>
      <w:r w:rsidR="002E14CC" w:rsidRPr="002E14CC">
        <w:rPr>
          <w:rFonts w:ascii="Trebuchet MS" w:hAnsi="Trebuchet MS"/>
        </w:rPr>
        <w:t>k</w:t>
      </w:r>
      <w:r w:rsidR="002E14CC">
        <w:rPr>
          <w:rFonts w:ascii="Trebuchet MS" w:hAnsi="Trebuchet MS"/>
        </w:rPr>
        <w:t xml:space="preserve">ann die Abwägung </w:t>
      </w:r>
      <w:r w:rsidR="002E14CC" w:rsidRPr="002E14CC">
        <w:rPr>
          <w:rFonts w:ascii="Trebuchet MS" w:hAnsi="Trebuchet MS"/>
        </w:rPr>
        <w:t>nur in einer</w:t>
      </w:r>
      <w:r w:rsidR="002E14CC">
        <w:rPr>
          <w:rFonts w:ascii="Trebuchet MS" w:hAnsi="Trebuchet MS"/>
        </w:rPr>
        <w:t xml:space="preserve"> solchen</w:t>
      </w:r>
      <w:r w:rsidR="002E14CC" w:rsidRPr="002E14CC">
        <w:rPr>
          <w:rFonts w:ascii="Trebuchet MS" w:hAnsi="Trebuchet MS"/>
        </w:rPr>
        <w:t xml:space="preserve"> einzelfallbezogenen Entscheidung getroffen werden. So sympathisch generelle Maßgaben (etwa generell höhere Evidenz</w:t>
      </w:r>
      <w:r w:rsidR="001C3A0E">
        <w:rPr>
          <w:rFonts w:ascii="Trebuchet MS" w:hAnsi="Trebuchet MS"/>
        </w:rPr>
        <w:t>anforderungen</w:t>
      </w:r>
      <w:r w:rsidR="002E14CC" w:rsidRPr="002E14CC">
        <w:rPr>
          <w:rFonts w:ascii="Trebuchet MS" w:hAnsi="Trebuchet MS"/>
        </w:rPr>
        <w:t xml:space="preserve"> bei vulnerablen Zielgruppen) </w:t>
      </w:r>
      <w:r w:rsidR="001C3A0E">
        <w:rPr>
          <w:rFonts w:ascii="Trebuchet MS" w:hAnsi="Trebuchet MS"/>
        </w:rPr>
        <w:t xml:space="preserve">auf den ersten Blick </w:t>
      </w:r>
      <w:r w:rsidR="002E14CC" w:rsidRPr="002E14CC">
        <w:rPr>
          <w:rFonts w:ascii="Trebuchet MS" w:hAnsi="Trebuchet MS"/>
        </w:rPr>
        <w:t xml:space="preserve">sind, so problematisch können sie in ihren Auswirkungen sein. Denn legt man diese Maßgabe zugrunde, besteht die Gefahr, dass keine Erstattung von Apps für Krebskranke mehr beantragt wird, sondern nur noch für </w:t>
      </w:r>
      <w:r w:rsidR="002E14CC">
        <w:rPr>
          <w:rFonts w:ascii="Trebuchet MS" w:hAnsi="Trebuchet MS"/>
        </w:rPr>
        <w:t>g</w:t>
      </w:r>
      <w:r w:rsidR="002E14CC" w:rsidRPr="002E14CC">
        <w:rPr>
          <w:rFonts w:ascii="Trebuchet MS" w:hAnsi="Trebuchet MS"/>
        </w:rPr>
        <w:t>esunde</w:t>
      </w:r>
      <w:r w:rsidR="002E14CC">
        <w:rPr>
          <w:rFonts w:ascii="Trebuchet MS" w:hAnsi="Trebuchet MS"/>
        </w:rPr>
        <w:t xml:space="preserve"> Risikoträger (etwa Menschen mit Bluthochdruck)</w:t>
      </w:r>
      <w:r w:rsidR="001C3A0E">
        <w:rPr>
          <w:rFonts w:ascii="Trebuchet MS" w:hAnsi="Trebuchet MS"/>
        </w:rPr>
        <w:t>, da hier die Anforderungen niedriger wären</w:t>
      </w:r>
      <w:r w:rsidR="002E14CC" w:rsidRPr="002E14CC">
        <w:rPr>
          <w:rFonts w:ascii="Trebuchet MS" w:hAnsi="Trebuchet MS"/>
        </w:rPr>
        <w:t>; dies hätte zur Folge, dass an Krebs Erkrankte u.U. nur noch Apps zum Selbstmanagement der Erkrankung zur Verfügung hätten, bei denen die Einhaltung des Datenschutzes fraglich ist</w:t>
      </w:r>
      <w:r w:rsidR="002E14CC">
        <w:rPr>
          <w:rFonts w:ascii="Trebuchet MS" w:hAnsi="Trebuchet MS"/>
        </w:rPr>
        <w:t xml:space="preserve"> bzw. sie die Kosten für solche Apps selbst tragen müssten</w:t>
      </w:r>
      <w:r w:rsidR="002E14CC" w:rsidRPr="002E14CC">
        <w:rPr>
          <w:rFonts w:ascii="Trebuchet MS" w:hAnsi="Trebuchet MS"/>
        </w:rPr>
        <w:t>. Dies ist sicherlich nicht wünschenswert.</w:t>
      </w:r>
    </w:p>
    <w:p w:rsidR="002E14CC" w:rsidRPr="00323075" w:rsidRDefault="002E14CC" w:rsidP="00323075">
      <w:pPr>
        <w:rPr>
          <w:rFonts w:ascii="Trebuchet MS" w:hAnsi="Trebuchet MS"/>
          <w:b/>
        </w:rPr>
      </w:pPr>
    </w:p>
    <w:p w:rsidR="009B38DE" w:rsidRPr="00893A63" w:rsidRDefault="00171BFC" w:rsidP="00893A63">
      <w:pPr>
        <w:pStyle w:val="Listenabsatz"/>
        <w:numPr>
          <w:ilvl w:val="0"/>
          <w:numId w:val="20"/>
        </w:numPr>
        <w:rPr>
          <w:rFonts w:ascii="Trebuchet MS" w:hAnsi="Trebuchet MS"/>
          <w:b/>
        </w:rPr>
      </w:pPr>
      <w:r w:rsidRPr="00893A63">
        <w:rPr>
          <w:rFonts w:ascii="Trebuchet MS" w:hAnsi="Trebuchet MS"/>
          <w:b/>
        </w:rPr>
        <w:t>Abweichungsbefugnis des BfArM</w:t>
      </w:r>
      <w:r w:rsidR="000E1E17" w:rsidRPr="00893A63">
        <w:rPr>
          <w:rFonts w:ascii="Trebuchet MS" w:hAnsi="Trebuchet MS"/>
          <w:b/>
        </w:rPr>
        <w:t xml:space="preserve"> (§ 18 Abs. 2 </w:t>
      </w:r>
      <w:proofErr w:type="spellStart"/>
      <w:r w:rsidR="000E1E17" w:rsidRPr="00893A63">
        <w:rPr>
          <w:rFonts w:ascii="Trebuchet MS" w:hAnsi="Trebuchet MS"/>
          <w:b/>
        </w:rPr>
        <w:t>D</w:t>
      </w:r>
      <w:r w:rsidR="008F00F5">
        <w:rPr>
          <w:rFonts w:ascii="Trebuchet MS" w:hAnsi="Trebuchet MS"/>
          <w:b/>
        </w:rPr>
        <w:t>i</w:t>
      </w:r>
      <w:r w:rsidR="000E1E17" w:rsidRPr="00893A63">
        <w:rPr>
          <w:rFonts w:ascii="Trebuchet MS" w:hAnsi="Trebuchet MS"/>
          <w:b/>
        </w:rPr>
        <w:t>GAV</w:t>
      </w:r>
      <w:proofErr w:type="spellEnd"/>
      <w:r w:rsidR="000E1E17" w:rsidRPr="00893A63">
        <w:rPr>
          <w:rFonts w:ascii="Trebuchet MS" w:hAnsi="Trebuchet MS"/>
          <w:b/>
        </w:rPr>
        <w:t>)</w:t>
      </w:r>
    </w:p>
    <w:p w:rsidR="00171BFC" w:rsidRDefault="00171BFC" w:rsidP="00171BFC">
      <w:pPr>
        <w:rPr>
          <w:rFonts w:ascii="Trebuchet MS" w:hAnsi="Trebuchet MS"/>
          <w:color w:val="4472C4"/>
        </w:rPr>
      </w:pPr>
    </w:p>
    <w:p w:rsidR="00171BFC" w:rsidRPr="00017F79" w:rsidRDefault="000E1E17" w:rsidP="000E1E17">
      <w:pPr>
        <w:spacing w:line="360" w:lineRule="auto"/>
        <w:rPr>
          <w:rFonts w:ascii="Trebuchet MS" w:hAnsi="Trebuchet MS"/>
          <w:color w:val="000000" w:themeColor="text1"/>
        </w:rPr>
      </w:pPr>
      <w:r w:rsidRPr="00017F79">
        <w:rPr>
          <w:rFonts w:ascii="Trebuchet MS" w:hAnsi="Trebuchet MS"/>
          <w:color w:val="000000" w:themeColor="text1"/>
        </w:rPr>
        <w:t>Die BAG SELBSHTILFE lehnt die Regelung ab. Aus ihrer Sicht muss der Verordnungsgeber aus Gründen der Patientensicherheit die entscheidenden Maßgaben für die Erstattungsfähigkeit der digitalen Gesundheitsanwendungen regeln, die dann auch entsprechende Verbindlichkeit haben. Schließlich ist mit der Erstattungsfähigkeit einer Anwendung auch eine Vermutung einer gewissen Qualitätsprüfung und der Einhaltung bestimmter Standards verbunden, so dass eine Abweichungsbefugnis einerseits die Patientensicherheit gefährden</w:t>
      </w:r>
      <w:r w:rsidR="001C3A0E">
        <w:rPr>
          <w:rFonts w:ascii="Trebuchet MS" w:hAnsi="Trebuchet MS"/>
          <w:color w:val="000000" w:themeColor="text1"/>
        </w:rPr>
        <w:t>,</w:t>
      </w:r>
      <w:r w:rsidRPr="00017F79">
        <w:rPr>
          <w:rFonts w:ascii="Trebuchet MS" w:hAnsi="Trebuchet MS"/>
          <w:color w:val="000000" w:themeColor="text1"/>
        </w:rPr>
        <w:t xml:space="preserve"> andererseits aber auch das „Prüfsiegel“ beschädigen kann.</w:t>
      </w:r>
    </w:p>
    <w:p w:rsidR="000E1E17" w:rsidRPr="00017F79" w:rsidRDefault="000E1E17" w:rsidP="000E1E17">
      <w:pPr>
        <w:spacing w:line="360" w:lineRule="auto"/>
        <w:rPr>
          <w:rFonts w:ascii="Trebuchet MS" w:hAnsi="Trebuchet MS"/>
          <w:color w:val="000000" w:themeColor="text1"/>
        </w:rPr>
      </w:pPr>
    </w:p>
    <w:p w:rsidR="000E1E17" w:rsidRPr="00017F79" w:rsidRDefault="000E1E17" w:rsidP="000E1E17">
      <w:pPr>
        <w:spacing w:line="360" w:lineRule="auto"/>
        <w:rPr>
          <w:rFonts w:ascii="Trebuchet MS" w:hAnsi="Trebuchet MS"/>
          <w:color w:val="000000" w:themeColor="text1"/>
        </w:rPr>
      </w:pPr>
      <w:r w:rsidRPr="00017F79">
        <w:rPr>
          <w:rFonts w:ascii="Trebuchet MS" w:hAnsi="Trebuchet MS"/>
          <w:color w:val="000000" w:themeColor="text1"/>
        </w:rPr>
        <w:t>Soweit dennoch an der Norm festgehalten werden sollte, müsste es an dieser Stelle ein Beteiligungsrecht der Patientenorganisationen nach § 140f, g festgelegt werden. Die Gründe für das Abweichen sollten zudem veröffentlicht werden müssen.</w:t>
      </w:r>
    </w:p>
    <w:p w:rsidR="000E1E17" w:rsidRDefault="000E1E17" w:rsidP="000E1E17">
      <w:pPr>
        <w:spacing w:line="360" w:lineRule="auto"/>
        <w:rPr>
          <w:rFonts w:ascii="Trebuchet MS" w:hAnsi="Trebuchet MS"/>
          <w:color w:val="4472C4"/>
        </w:rPr>
      </w:pPr>
    </w:p>
    <w:p w:rsidR="000E1E17" w:rsidRPr="00017F79" w:rsidRDefault="00017F79" w:rsidP="00017F79">
      <w:pPr>
        <w:pStyle w:val="Listenabsatz"/>
        <w:numPr>
          <w:ilvl w:val="0"/>
          <w:numId w:val="20"/>
        </w:numPr>
        <w:spacing w:line="360" w:lineRule="auto"/>
        <w:rPr>
          <w:rFonts w:ascii="Trebuchet MS" w:hAnsi="Trebuchet MS"/>
          <w:b/>
        </w:rPr>
      </w:pPr>
      <w:r w:rsidRPr="00017F79">
        <w:rPr>
          <w:rFonts w:ascii="Trebuchet MS" w:hAnsi="Trebuchet MS"/>
          <w:b/>
        </w:rPr>
        <w:t xml:space="preserve">Anregung: Einbeziehung externer Expertise (Ergänzung des § 21 </w:t>
      </w:r>
      <w:proofErr w:type="spellStart"/>
      <w:r w:rsidRPr="00017F79">
        <w:rPr>
          <w:rFonts w:ascii="Trebuchet MS" w:hAnsi="Trebuchet MS"/>
          <w:b/>
        </w:rPr>
        <w:t>D</w:t>
      </w:r>
      <w:r w:rsidR="000954D2">
        <w:rPr>
          <w:rFonts w:ascii="Trebuchet MS" w:hAnsi="Trebuchet MS"/>
          <w:b/>
        </w:rPr>
        <w:t>i</w:t>
      </w:r>
      <w:r w:rsidRPr="00017F79">
        <w:rPr>
          <w:rFonts w:ascii="Trebuchet MS" w:hAnsi="Trebuchet MS"/>
          <w:b/>
        </w:rPr>
        <w:t>GAV</w:t>
      </w:r>
      <w:proofErr w:type="spellEnd"/>
      <w:r w:rsidRPr="00017F79">
        <w:rPr>
          <w:rFonts w:ascii="Trebuchet MS" w:hAnsi="Trebuchet MS"/>
          <w:b/>
        </w:rPr>
        <w:t>)</w:t>
      </w:r>
    </w:p>
    <w:p w:rsidR="00017F79" w:rsidRPr="00017F79" w:rsidRDefault="00017F79" w:rsidP="00017F79">
      <w:pPr>
        <w:spacing w:line="360" w:lineRule="auto"/>
        <w:rPr>
          <w:rFonts w:ascii="Trebuchet MS" w:hAnsi="Trebuchet MS"/>
        </w:rPr>
      </w:pPr>
    </w:p>
    <w:p w:rsidR="009B38DE" w:rsidRPr="00017F79" w:rsidRDefault="00017F79" w:rsidP="00017F79">
      <w:pPr>
        <w:spacing w:line="360" w:lineRule="auto"/>
        <w:rPr>
          <w:rFonts w:ascii="Trebuchet MS" w:hAnsi="Trebuchet MS"/>
        </w:rPr>
      </w:pPr>
      <w:r w:rsidRPr="00017F79">
        <w:rPr>
          <w:rFonts w:ascii="Trebuchet MS" w:hAnsi="Trebuchet MS"/>
        </w:rPr>
        <w:t xml:space="preserve">Aus der Sicht der BAG SELBSTHILFE sollte in § 21 </w:t>
      </w:r>
      <w:proofErr w:type="spellStart"/>
      <w:r w:rsidRPr="00017F79">
        <w:rPr>
          <w:rFonts w:ascii="Trebuchet MS" w:hAnsi="Trebuchet MS"/>
        </w:rPr>
        <w:t>D</w:t>
      </w:r>
      <w:r w:rsidR="000954D2">
        <w:rPr>
          <w:rFonts w:ascii="Trebuchet MS" w:hAnsi="Trebuchet MS"/>
        </w:rPr>
        <w:t>i</w:t>
      </w:r>
      <w:r w:rsidRPr="00017F79">
        <w:rPr>
          <w:rFonts w:ascii="Trebuchet MS" w:hAnsi="Trebuchet MS"/>
        </w:rPr>
        <w:t>GAV</w:t>
      </w:r>
      <w:proofErr w:type="spellEnd"/>
      <w:r w:rsidRPr="00017F79">
        <w:rPr>
          <w:rFonts w:ascii="Trebuchet MS" w:hAnsi="Trebuchet MS"/>
        </w:rPr>
        <w:t xml:space="preserve"> – ähnlich wie im AMG- auch geregelt werden</w:t>
      </w:r>
      <w:r w:rsidR="009B38DE" w:rsidRPr="00017F79">
        <w:rPr>
          <w:rFonts w:ascii="Trebuchet MS" w:hAnsi="Trebuchet MS"/>
        </w:rPr>
        <w:t xml:space="preserve">, wann und wie das BfArM Experten </w:t>
      </w:r>
      <w:r w:rsidRPr="00017F79">
        <w:rPr>
          <w:rFonts w:ascii="Trebuchet MS" w:hAnsi="Trebuchet MS"/>
        </w:rPr>
        <w:t xml:space="preserve">(etwa auch mit Betroffenenkompetenz) </w:t>
      </w:r>
      <w:r w:rsidR="009B38DE" w:rsidRPr="00017F79">
        <w:rPr>
          <w:rFonts w:ascii="Trebuchet MS" w:hAnsi="Trebuchet MS"/>
        </w:rPr>
        <w:t xml:space="preserve">hinzuziehen kann </w:t>
      </w:r>
      <w:r w:rsidRPr="00017F79">
        <w:rPr>
          <w:rFonts w:ascii="Trebuchet MS" w:hAnsi="Trebuchet MS"/>
        </w:rPr>
        <w:t>Insoweit wird eine entsprechende Ergänzung angeregt.</w:t>
      </w:r>
    </w:p>
    <w:p w:rsidR="00017F79" w:rsidRDefault="00017F79" w:rsidP="00017F79">
      <w:pPr>
        <w:rPr>
          <w:rFonts w:ascii="Trebuchet MS" w:hAnsi="Trebuchet MS"/>
          <w:color w:val="4472C4"/>
        </w:rPr>
      </w:pPr>
    </w:p>
    <w:p w:rsidR="001C3A0E" w:rsidRDefault="001C3A0E" w:rsidP="00017F79">
      <w:pPr>
        <w:rPr>
          <w:rFonts w:ascii="Trebuchet MS" w:hAnsi="Trebuchet MS"/>
          <w:color w:val="4472C4"/>
        </w:rPr>
      </w:pPr>
    </w:p>
    <w:p w:rsidR="001C3A0E" w:rsidRDefault="001C3A0E" w:rsidP="00017F79">
      <w:pPr>
        <w:rPr>
          <w:rFonts w:ascii="Trebuchet MS" w:hAnsi="Trebuchet MS"/>
          <w:color w:val="4472C4"/>
        </w:rPr>
      </w:pPr>
    </w:p>
    <w:p w:rsidR="001C3A0E" w:rsidRPr="00017F79" w:rsidRDefault="001C3A0E" w:rsidP="00017F79">
      <w:pPr>
        <w:rPr>
          <w:rFonts w:ascii="Trebuchet MS" w:hAnsi="Trebuchet MS"/>
          <w:color w:val="4472C4"/>
        </w:rPr>
      </w:pPr>
    </w:p>
    <w:p w:rsidR="00017F79" w:rsidRPr="00017F79" w:rsidRDefault="00017F79" w:rsidP="00017F79">
      <w:pPr>
        <w:pStyle w:val="Listenabsatz"/>
        <w:numPr>
          <w:ilvl w:val="0"/>
          <w:numId w:val="20"/>
        </w:numPr>
        <w:rPr>
          <w:rFonts w:ascii="Trebuchet MS" w:hAnsi="Trebuchet MS"/>
          <w:b/>
        </w:rPr>
      </w:pPr>
      <w:r w:rsidRPr="00017F79">
        <w:rPr>
          <w:rFonts w:ascii="Trebuchet MS" w:hAnsi="Trebuchet MS"/>
          <w:b/>
        </w:rPr>
        <w:t>Ausgestaltung des Verzeichnisses (</w:t>
      </w:r>
      <w:r w:rsidR="009B38DE" w:rsidRPr="00017F79">
        <w:rPr>
          <w:rFonts w:ascii="Trebuchet MS" w:hAnsi="Trebuchet MS"/>
          <w:b/>
        </w:rPr>
        <w:t xml:space="preserve">§ 25 </w:t>
      </w:r>
      <w:proofErr w:type="spellStart"/>
      <w:r w:rsidRPr="00017F79">
        <w:rPr>
          <w:rFonts w:ascii="Trebuchet MS" w:hAnsi="Trebuchet MS"/>
          <w:b/>
        </w:rPr>
        <w:t>D</w:t>
      </w:r>
      <w:r w:rsidR="000954D2">
        <w:rPr>
          <w:rFonts w:ascii="Trebuchet MS" w:hAnsi="Trebuchet MS"/>
          <w:b/>
        </w:rPr>
        <w:t>i</w:t>
      </w:r>
      <w:r w:rsidRPr="00017F79">
        <w:rPr>
          <w:rFonts w:ascii="Trebuchet MS" w:hAnsi="Trebuchet MS"/>
          <w:b/>
        </w:rPr>
        <w:t>GAV</w:t>
      </w:r>
      <w:proofErr w:type="spellEnd"/>
      <w:r w:rsidRPr="00017F79">
        <w:rPr>
          <w:rFonts w:ascii="Trebuchet MS" w:hAnsi="Trebuchet MS"/>
          <w:b/>
        </w:rPr>
        <w:t>)</w:t>
      </w:r>
    </w:p>
    <w:p w:rsidR="00017F79" w:rsidRDefault="00017F79" w:rsidP="00017F79">
      <w:pPr>
        <w:rPr>
          <w:rFonts w:ascii="Trebuchet MS" w:hAnsi="Trebuchet MS"/>
          <w:color w:val="4472C4"/>
        </w:rPr>
      </w:pPr>
    </w:p>
    <w:p w:rsidR="00017F79" w:rsidRPr="00017F79" w:rsidRDefault="009B38DE" w:rsidP="00017F79">
      <w:pPr>
        <w:spacing w:line="360" w:lineRule="auto"/>
        <w:rPr>
          <w:rFonts w:ascii="Trebuchet MS" w:hAnsi="Trebuchet MS"/>
        </w:rPr>
      </w:pPr>
      <w:r w:rsidRPr="00017F79">
        <w:rPr>
          <w:rFonts w:ascii="Trebuchet MS" w:hAnsi="Trebuchet MS"/>
        </w:rPr>
        <w:t>Das Verzeichnis</w:t>
      </w:r>
      <w:r w:rsidR="00017F79" w:rsidRPr="00017F79">
        <w:rPr>
          <w:rFonts w:ascii="Trebuchet MS" w:hAnsi="Trebuchet MS"/>
        </w:rPr>
        <w:t xml:space="preserve">, </w:t>
      </w:r>
      <w:r w:rsidRPr="00017F79">
        <w:rPr>
          <w:rFonts w:ascii="Trebuchet MS" w:hAnsi="Trebuchet MS"/>
        </w:rPr>
        <w:t>dessen Nutzerorientierung</w:t>
      </w:r>
      <w:r w:rsidR="00017F79" w:rsidRPr="00017F79">
        <w:rPr>
          <w:rFonts w:ascii="Trebuchet MS" w:hAnsi="Trebuchet MS"/>
        </w:rPr>
        <w:t xml:space="preserve"> und die vorgesehene Barrierefreiheit begrüßt die BAG SELBSTHILFE sehr. Sie hat jedoch bzgl. der Angaben zu den Unterstützungsleistungen noch Ergänzungsbedarf, der bereits oben </w:t>
      </w:r>
      <w:r w:rsidR="001C3A0E">
        <w:rPr>
          <w:rFonts w:ascii="Trebuchet MS" w:hAnsi="Trebuchet MS"/>
        </w:rPr>
        <w:t xml:space="preserve">unter 2. </w:t>
      </w:r>
      <w:r w:rsidR="00017F79" w:rsidRPr="00017F79">
        <w:rPr>
          <w:rFonts w:ascii="Trebuchet MS" w:hAnsi="Trebuchet MS"/>
        </w:rPr>
        <w:t>dargestellt wurde.</w:t>
      </w:r>
    </w:p>
    <w:p w:rsidR="00017F79" w:rsidRDefault="00017F79" w:rsidP="00017F79">
      <w:pPr>
        <w:rPr>
          <w:rFonts w:ascii="Trebuchet MS" w:hAnsi="Trebuchet MS"/>
          <w:color w:val="4472C4"/>
        </w:rPr>
      </w:pPr>
    </w:p>
    <w:p w:rsidR="0049782C" w:rsidRPr="0049782C" w:rsidRDefault="0049782C" w:rsidP="0049782C">
      <w:pPr>
        <w:pStyle w:val="Listenabsatz"/>
        <w:numPr>
          <w:ilvl w:val="0"/>
          <w:numId w:val="20"/>
        </w:numPr>
        <w:rPr>
          <w:rFonts w:ascii="Trebuchet MS" w:hAnsi="Trebuchet MS"/>
          <w:b/>
        </w:rPr>
      </w:pPr>
      <w:r w:rsidRPr="0049782C">
        <w:rPr>
          <w:rFonts w:ascii="Trebuchet MS" w:hAnsi="Trebuchet MS"/>
          <w:b/>
        </w:rPr>
        <w:t>Mitwirkung an der Schiedsstelle nach § 134 SGB V</w:t>
      </w:r>
      <w:r w:rsidR="000954D2">
        <w:rPr>
          <w:rFonts w:ascii="Trebuchet MS" w:hAnsi="Trebuchet MS"/>
          <w:b/>
        </w:rPr>
        <w:t xml:space="preserve"> (§§ 38, 45 Abs. 2 </w:t>
      </w:r>
      <w:proofErr w:type="spellStart"/>
      <w:r w:rsidR="000954D2">
        <w:rPr>
          <w:rFonts w:ascii="Trebuchet MS" w:hAnsi="Trebuchet MS"/>
          <w:b/>
        </w:rPr>
        <w:t>DiGAV</w:t>
      </w:r>
      <w:proofErr w:type="spellEnd"/>
      <w:r w:rsidR="000954D2">
        <w:rPr>
          <w:rFonts w:ascii="Trebuchet MS" w:hAnsi="Trebuchet MS"/>
          <w:b/>
        </w:rPr>
        <w:t>)</w:t>
      </w:r>
    </w:p>
    <w:p w:rsidR="0049782C" w:rsidRDefault="0049782C" w:rsidP="0049782C">
      <w:pPr>
        <w:rPr>
          <w:rFonts w:ascii="Trebuchet MS" w:hAnsi="Trebuchet MS"/>
          <w:color w:val="4472C4"/>
        </w:rPr>
      </w:pPr>
    </w:p>
    <w:p w:rsidR="0049782C" w:rsidRPr="0049782C" w:rsidRDefault="0049782C" w:rsidP="0049782C">
      <w:pPr>
        <w:spacing w:line="360" w:lineRule="auto"/>
        <w:rPr>
          <w:rFonts w:ascii="Trebuchet MS" w:hAnsi="Trebuchet MS"/>
        </w:rPr>
      </w:pPr>
      <w:r w:rsidRPr="0049782C">
        <w:rPr>
          <w:rFonts w:ascii="Trebuchet MS" w:hAnsi="Trebuchet MS"/>
        </w:rPr>
        <w:t>Die BAG SELBSTHILFE begrüßt zwar, dass die Patientenorganisationen nach § 140f SGB V zu den Sitzungen der Schiedsstelle eingeladen werden und offenbar ein Mitwirkungsrecht haben; warum jedoch auf eine solche Einladung verzichtet werden kann</w:t>
      </w:r>
      <w:r w:rsidR="00323075">
        <w:rPr>
          <w:rFonts w:ascii="Trebuchet MS" w:hAnsi="Trebuchet MS"/>
        </w:rPr>
        <w:t xml:space="preserve"> und welche Maßgaben für einen solchen Verzicht gelten</w:t>
      </w:r>
      <w:r w:rsidRPr="0049782C">
        <w:rPr>
          <w:rFonts w:ascii="Trebuchet MS" w:hAnsi="Trebuchet MS"/>
        </w:rPr>
        <w:t>, bleibt aus ihrer Sicht – auch bei Durchsicht der Verordnungsbegründung - unklar. Die Regelung nach § 45 Abs. 2 ist somit aus ihrer Sicht zu streichen.</w:t>
      </w:r>
    </w:p>
    <w:p w:rsidR="003363EE" w:rsidRPr="003363EE" w:rsidRDefault="003363EE" w:rsidP="003363EE">
      <w:pPr>
        <w:rPr>
          <w:rFonts w:ascii="Trebuchet MS" w:hAnsi="Trebuchet MS"/>
          <w:color w:val="4472C4"/>
        </w:rPr>
      </w:pPr>
    </w:p>
    <w:p w:rsidR="00CD3E71" w:rsidRDefault="00CD3E71" w:rsidP="004E5E3D">
      <w:pPr>
        <w:spacing w:line="360" w:lineRule="auto"/>
        <w:rPr>
          <w:rFonts w:ascii="Trebuchet MS" w:hAnsi="Trebuchet MS"/>
        </w:rPr>
      </w:pPr>
    </w:p>
    <w:p w:rsidR="00527953" w:rsidRPr="004E5E3D" w:rsidRDefault="00EF4675" w:rsidP="004E5E3D">
      <w:pPr>
        <w:spacing w:line="360" w:lineRule="auto"/>
        <w:rPr>
          <w:rFonts w:ascii="Trebuchet MS" w:hAnsi="Trebuchet MS"/>
        </w:rPr>
      </w:pPr>
      <w:r>
        <w:rPr>
          <w:rFonts w:ascii="Trebuchet MS" w:hAnsi="Trebuchet MS"/>
        </w:rPr>
        <w:t xml:space="preserve">Düsseldorf/ </w:t>
      </w:r>
      <w:r w:rsidR="00527953">
        <w:rPr>
          <w:rFonts w:ascii="Trebuchet MS" w:hAnsi="Trebuchet MS"/>
        </w:rPr>
        <w:t xml:space="preserve">Berlin, den </w:t>
      </w:r>
      <w:r w:rsidR="00A1198C">
        <w:rPr>
          <w:rFonts w:ascii="Trebuchet MS" w:hAnsi="Trebuchet MS"/>
        </w:rPr>
        <w:t>17</w:t>
      </w:r>
      <w:r w:rsidR="00527953">
        <w:rPr>
          <w:rFonts w:ascii="Trebuchet MS" w:hAnsi="Trebuchet MS"/>
        </w:rPr>
        <w:t xml:space="preserve">. </w:t>
      </w:r>
      <w:r w:rsidR="00A1198C">
        <w:rPr>
          <w:rFonts w:ascii="Trebuchet MS" w:hAnsi="Trebuchet MS"/>
        </w:rPr>
        <w:t>Februar 2020</w:t>
      </w:r>
    </w:p>
    <w:sectPr w:rsidR="00527953" w:rsidRPr="004E5E3D" w:rsidSect="008E792B">
      <w:footerReference w:type="default" r:id="rId9"/>
      <w:footerReference w:type="first" r:id="rId10"/>
      <w:pgSz w:w="11906" w:h="16838"/>
      <w:pgMar w:top="1418" w:right="964" w:bottom="1134" w:left="130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C98" w:rsidRDefault="00CC2C98" w:rsidP="00E34EB0">
      <w:r>
        <w:separator/>
      </w:r>
    </w:p>
  </w:endnote>
  <w:endnote w:type="continuationSeparator" w:id="0">
    <w:p w:rsidR="00CC2C98" w:rsidRDefault="00CC2C98" w:rsidP="00E3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83593"/>
      <w:docPartObj>
        <w:docPartGallery w:val="Page Numbers (Bottom of Page)"/>
        <w:docPartUnique/>
      </w:docPartObj>
    </w:sdtPr>
    <w:sdtEndPr>
      <w:rPr>
        <w:rFonts w:ascii="Trebuchet MS" w:hAnsi="Trebuchet MS"/>
      </w:rPr>
    </w:sdtEndPr>
    <w:sdtContent>
      <w:p w:rsidR="00D33E2F" w:rsidRPr="008E792B" w:rsidRDefault="00D33E2F">
        <w:pPr>
          <w:pStyle w:val="Fuzeile"/>
          <w:jc w:val="right"/>
          <w:rPr>
            <w:rFonts w:ascii="Trebuchet MS" w:hAnsi="Trebuchet MS"/>
          </w:rPr>
        </w:pPr>
        <w:r w:rsidRPr="008E792B">
          <w:rPr>
            <w:rFonts w:ascii="Trebuchet MS" w:hAnsi="Trebuchet MS"/>
          </w:rPr>
          <w:fldChar w:fldCharType="begin"/>
        </w:r>
        <w:r w:rsidRPr="008E792B">
          <w:rPr>
            <w:rFonts w:ascii="Trebuchet MS" w:hAnsi="Trebuchet MS"/>
          </w:rPr>
          <w:instrText>PAGE   \* MERGEFORMAT</w:instrText>
        </w:r>
        <w:r w:rsidRPr="008E792B">
          <w:rPr>
            <w:rFonts w:ascii="Trebuchet MS" w:hAnsi="Trebuchet MS"/>
          </w:rPr>
          <w:fldChar w:fldCharType="separate"/>
        </w:r>
        <w:r w:rsidR="00AC4219">
          <w:rPr>
            <w:rFonts w:ascii="Trebuchet MS" w:hAnsi="Trebuchet MS"/>
            <w:noProof/>
          </w:rPr>
          <w:t>10</w:t>
        </w:r>
        <w:r w:rsidRPr="008E792B">
          <w:rPr>
            <w:rFonts w:ascii="Trebuchet MS" w:hAnsi="Trebuchet MS"/>
          </w:rPr>
          <w:fldChar w:fldCharType="end"/>
        </w:r>
      </w:p>
    </w:sdtContent>
  </w:sdt>
  <w:p w:rsidR="00D33E2F" w:rsidRDefault="00D33E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540110"/>
      <w:docPartObj>
        <w:docPartGallery w:val="Page Numbers (Bottom of Page)"/>
        <w:docPartUnique/>
      </w:docPartObj>
    </w:sdtPr>
    <w:sdtEndPr/>
    <w:sdtContent>
      <w:p w:rsidR="00D33E2F" w:rsidRDefault="00D33E2F">
        <w:pPr>
          <w:pStyle w:val="Fuzeile"/>
          <w:jc w:val="right"/>
        </w:pPr>
        <w:r>
          <w:fldChar w:fldCharType="begin"/>
        </w:r>
        <w:r>
          <w:instrText>PAGE   \* MERGEFORMAT</w:instrText>
        </w:r>
        <w:r>
          <w:fldChar w:fldCharType="separate"/>
        </w:r>
        <w:r>
          <w:rPr>
            <w:noProof/>
          </w:rPr>
          <w:t>1</w:t>
        </w:r>
        <w:r>
          <w:fldChar w:fldCharType="end"/>
        </w:r>
      </w:p>
    </w:sdtContent>
  </w:sdt>
  <w:p w:rsidR="00D33E2F" w:rsidRDefault="00D33E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C98" w:rsidRDefault="00CC2C98" w:rsidP="00E34EB0">
      <w:r>
        <w:separator/>
      </w:r>
    </w:p>
  </w:footnote>
  <w:footnote w:type="continuationSeparator" w:id="0">
    <w:p w:rsidR="00CC2C98" w:rsidRDefault="00CC2C98" w:rsidP="00E34EB0">
      <w:r>
        <w:continuationSeparator/>
      </w:r>
    </w:p>
  </w:footnote>
  <w:footnote w:id="1">
    <w:p w:rsidR="00893A63" w:rsidRDefault="00893A63">
      <w:pPr>
        <w:pStyle w:val="Funotentext"/>
      </w:pPr>
      <w:r>
        <w:rPr>
          <w:rStyle w:val="Funotenzeichen"/>
        </w:rPr>
        <w:footnoteRef/>
      </w:r>
      <w:r>
        <w:t xml:space="preserve"> Schünemann, </w:t>
      </w:r>
      <w:proofErr w:type="spellStart"/>
      <w:r>
        <w:t>zit</w:t>
      </w:r>
      <w:proofErr w:type="spellEnd"/>
      <w:r>
        <w:t xml:space="preserve"> nach: </w:t>
      </w:r>
      <w:hyperlink r:id="rId1" w:history="1">
        <w:r w:rsidRPr="00E40B12">
          <w:rPr>
            <w:rStyle w:val="Hyperlink"/>
          </w:rPr>
          <w:t>https://www.iqwig.de/de/veranstaltungen/herbst-symposium/symposien-2005-2013/symposium-2011/2011-11-25-prof-dr-dr-holger-schuenemann.2050.html</w:t>
        </w:r>
      </w:hyperlink>
      <w:r>
        <w:t>, Folie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8CC"/>
    <w:multiLevelType w:val="hybridMultilevel"/>
    <w:tmpl w:val="3F5CF99C"/>
    <w:lvl w:ilvl="0" w:tplc="9C5C00D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BF11DE"/>
    <w:multiLevelType w:val="hybridMultilevel"/>
    <w:tmpl w:val="8FD6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006180"/>
    <w:multiLevelType w:val="hybridMultilevel"/>
    <w:tmpl w:val="64A47F1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D5326B"/>
    <w:multiLevelType w:val="hybridMultilevel"/>
    <w:tmpl w:val="F85EF4F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954438"/>
    <w:multiLevelType w:val="hybridMultilevel"/>
    <w:tmpl w:val="C4464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5CB25E6"/>
    <w:multiLevelType w:val="hybridMultilevel"/>
    <w:tmpl w:val="416AF98C"/>
    <w:lvl w:ilvl="0" w:tplc="F3B0502C">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A0E1E5B"/>
    <w:multiLevelType w:val="hybridMultilevel"/>
    <w:tmpl w:val="CF2A02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A20AD1"/>
    <w:multiLevelType w:val="hybridMultilevel"/>
    <w:tmpl w:val="3F724736"/>
    <w:lvl w:ilvl="0" w:tplc="04070017">
      <w:start w:val="1"/>
      <w:numFmt w:val="lowerLetter"/>
      <w:lvlText w:val="%1)"/>
      <w:lvlJc w:val="left"/>
      <w:pPr>
        <w:ind w:left="927" w:hanging="360"/>
      </w:pPr>
      <w:rPr>
        <w:rFont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32291C95"/>
    <w:multiLevelType w:val="hybridMultilevel"/>
    <w:tmpl w:val="5ADABCF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F84701"/>
    <w:multiLevelType w:val="hybridMultilevel"/>
    <w:tmpl w:val="31C0F8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BD1339"/>
    <w:multiLevelType w:val="hybridMultilevel"/>
    <w:tmpl w:val="1D8E1EAC"/>
    <w:lvl w:ilvl="0" w:tplc="7014106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8E29DD"/>
    <w:multiLevelType w:val="hybridMultilevel"/>
    <w:tmpl w:val="EB18824C"/>
    <w:lvl w:ilvl="0" w:tplc="3AF683B4">
      <w:start w:val="1"/>
      <w:numFmt w:val="upperRoman"/>
      <w:lvlText w:val="%1."/>
      <w:lvlJc w:val="left"/>
      <w:pPr>
        <w:ind w:left="360" w:hanging="360"/>
      </w:pPr>
      <w:rPr>
        <w:rFonts w:ascii="Trebuchet MS" w:eastAsia="Times New Roman" w:hAnsi="Trebuchet MS" w:cs="Times New Roman"/>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6DD5E61"/>
    <w:multiLevelType w:val="hybridMultilevel"/>
    <w:tmpl w:val="37809F8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7363B9"/>
    <w:multiLevelType w:val="hybridMultilevel"/>
    <w:tmpl w:val="37809F8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0A4B15"/>
    <w:multiLevelType w:val="hybridMultilevel"/>
    <w:tmpl w:val="1F0ED14E"/>
    <w:lvl w:ilvl="0" w:tplc="467E9EA8">
      <w:start w:val="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5315C41"/>
    <w:multiLevelType w:val="hybridMultilevel"/>
    <w:tmpl w:val="8FD6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C740D4"/>
    <w:multiLevelType w:val="hybridMultilevel"/>
    <w:tmpl w:val="114044BC"/>
    <w:lvl w:ilvl="0" w:tplc="87F2F128">
      <w:start w:val="19"/>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724C220C"/>
    <w:multiLevelType w:val="hybridMultilevel"/>
    <w:tmpl w:val="A5D6B30E"/>
    <w:lvl w:ilvl="0" w:tplc="CB38DB7C">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6171CBF"/>
    <w:multiLevelType w:val="hybridMultilevel"/>
    <w:tmpl w:val="46720450"/>
    <w:lvl w:ilvl="0" w:tplc="E26E484E">
      <w:start w:val="1"/>
      <w:numFmt w:val="lowerLetter"/>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1C3039"/>
    <w:multiLevelType w:val="hybridMultilevel"/>
    <w:tmpl w:val="6550410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0"/>
  </w:num>
  <w:num w:numId="5">
    <w:abstractNumId w:val="0"/>
  </w:num>
  <w:num w:numId="6">
    <w:abstractNumId w:val="15"/>
  </w:num>
  <w:num w:numId="7">
    <w:abstractNumId w:val="1"/>
  </w:num>
  <w:num w:numId="8">
    <w:abstractNumId w:val="14"/>
  </w:num>
  <w:num w:numId="9">
    <w:abstractNumId w:val="16"/>
  </w:num>
  <w:num w:numId="10">
    <w:abstractNumId w:val="9"/>
  </w:num>
  <w:num w:numId="11">
    <w:abstractNumId w:val="19"/>
  </w:num>
  <w:num w:numId="12">
    <w:abstractNumId w:val="18"/>
  </w:num>
  <w:num w:numId="13">
    <w:abstractNumId w:val="12"/>
  </w:num>
  <w:num w:numId="14">
    <w:abstractNumId w:val="8"/>
  </w:num>
  <w:num w:numId="15">
    <w:abstractNumId w:val="13"/>
  </w:num>
  <w:num w:numId="16">
    <w:abstractNumId w:val="3"/>
  </w:num>
  <w:num w:numId="17">
    <w:abstractNumId w:val="5"/>
  </w:num>
  <w:num w:numId="18">
    <w:abstractNumId w:val="2"/>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21"/>
    <w:rsid w:val="00001242"/>
    <w:rsid w:val="00003900"/>
    <w:rsid w:val="000125F5"/>
    <w:rsid w:val="00017F79"/>
    <w:rsid w:val="0002245C"/>
    <w:rsid w:val="000242BB"/>
    <w:rsid w:val="00025CFA"/>
    <w:rsid w:val="000377B6"/>
    <w:rsid w:val="00056BFE"/>
    <w:rsid w:val="000954D2"/>
    <w:rsid w:val="000A5388"/>
    <w:rsid w:val="000B6BB5"/>
    <w:rsid w:val="000B79C6"/>
    <w:rsid w:val="000D2646"/>
    <w:rsid w:val="000D621B"/>
    <w:rsid w:val="000D7E20"/>
    <w:rsid w:val="000E1E17"/>
    <w:rsid w:val="000F7583"/>
    <w:rsid w:val="00100F02"/>
    <w:rsid w:val="0013637E"/>
    <w:rsid w:val="0014070C"/>
    <w:rsid w:val="00147110"/>
    <w:rsid w:val="00171BFC"/>
    <w:rsid w:val="001911AA"/>
    <w:rsid w:val="001A0E08"/>
    <w:rsid w:val="001A5A81"/>
    <w:rsid w:val="001B0988"/>
    <w:rsid w:val="001C3A0E"/>
    <w:rsid w:val="001E4763"/>
    <w:rsid w:val="00264BEC"/>
    <w:rsid w:val="002B6644"/>
    <w:rsid w:val="002D17EF"/>
    <w:rsid w:val="002D1EBB"/>
    <w:rsid w:val="002D6D90"/>
    <w:rsid w:val="002E14CC"/>
    <w:rsid w:val="002F2216"/>
    <w:rsid w:val="002F53E7"/>
    <w:rsid w:val="00320ACA"/>
    <w:rsid w:val="00323075"/>
    <w:rsid w:val="003363EE"/>
    <w:rsid w:val="0034437B"/>
    <w:rsid w:val="003464A7"/>
    <w:rsid w:val="00351615"/>
    <w:rsid w:val="00370583"/>
    <w:rsid w:val="00394E49"/>
    <w:rsid w:val="003B6293"/>
    <w:rsid w:val="003C37F3"/>
    <w:rsid w:val="003F04BD"/>
    <w:rsid w:val="0041315F"/>
    <w:rsid w:val="004154B3"/>
    <w:rsid w:val="004248A6"/>
    <w:rsid w:val="00426F8C"/>
    <w:rsid w:val="004314C0"/>
    <w:rsid w:val="00476E5A"/>
    <w:rsid w:val="004945A3"/>
    <w:rsid w:val="0049782C"/>
    <w:rsid w:val="004A03FC"/>
    <w:rsid w:val="004C4649"/>
    <w:rsid w:val="004D0C6A"/>
    <w:rsid w:val="004D27F7"/>
    <w:rsid w:val="004D4CE4"/>
    <w:rsid w:val="004D7142"/>
    <w:rsid w:val="004E5E3D"/>
    <w:rsid w:val="004E688F"/>
    <w:rsid w:val="004F4857"/>
    <w:rsid w:val="0052049B"/>
    <w:rsid w:val="00527953"/>
    <w:rsid w:val="00577870"/>
    <w:rsid w:val="005B1576"/>
    <w:rsid w:val="005B2225"/>
    <w:rsid w:val="005B42CD"/>
    <w:rsid w:val="005C2766"/>
    <w:rsid w:val="005C3621"/>
    <w:rsid w:val="005F62CE"/>
    <w:rsid w:val="00606101"/>
    <w:rsid w:val="00667092"/>
    <w:rsid w:val="00680723"/>
    <w:rsid w:val="00685996"/>
    <w:rsid w:val="00690726"/>
    <w:rsid w:val="00694523"/>
    <w:rsid w:val="006A19AE"/>
    <w:rsid w:val="006A4D7C"/>
    <w:rsid w:val="006A5B44"/>
    <w:rsid w:val="006A649E"/>
    <w:rsid w:val="006B6F67"/>
    <w:rsid w:val="006D50D3"/>
    <w:rsid w:val="0070704C"/>
    <w:rsid w:val="00716875"/>
    <w:rsid w:val="00720082"/>
    <w:rsid w:val="00744643"/>
    <w:rsid w:val="007506DA"/>
    <w:rsid w:val="007821FF"/>
    <w:rsid w:val="00795104"/>
    <w:rsid w:val="007B7B24"/>
    <w:rsid w:val="007C6B37"/>
    <w:rsid w:val="007F121C"/>
    <w:rsid w:val="00806F21"/>
    <w:rsid w:val="008730F1"/>
    <w:rsid w:val="0088640A"/>
    <w:rsid w:val="00893A63"/>
    <w:rsid w:val="008A431E"/>
    <w:rsid w:val="008E5A92"/>
    <w:rsid w:val="008E792B"/>
    <w:rsid w:val="008F00F5"/>
    <w:rsid w:val="0091530E"/>
    <w:rsid w:val="009A00F8"/>
    <w:rsid w:val="009B38DE"/>
    <w:rsid w:val="00A02CA8"/>
    <w:rsid w:val="00A1198C"/>
    <w:rsid w:val="00A157EE"/>
    <w:rsid w:val="00A2077F"/>
    <w:rsid w:val="00A20D55"/>
    <w:rsid w:val="00A3652A"/>
    <w:rsid w:val="00A5043E"/>
    <w:rsid w:val="00A64CF4"/>
    <w:rsid w:val="00AC3102"/>
    <w:rsid w:val="00AC4219"/>
    <w:rsid w:val="00AE1D76"/>
    <w:rsid w:val="00B415D1"/>
    <w:rsid w:val="00B55315"/>
    <w:rsid w:val="00B94849"/>
    <w:rsid w:val="00BB0605"/>
    <w:rsid w:val="00BD45B5"/>
    <w:rsid w:val="00BF0C0F"/>
    <w:rsid w:val="00C21457"/>
    <w:rsid w:val="00C23C11"/>
    <w:rsid w:val="00C5715D"/>
    <w:rsid w:val="00C715B5"/>
    <w:rsid w:val="00CB2506"/>
    <w:rsid w:val="00CB610D"/>
    <w:rsid w:val="00CC052C"/>
    <w:rsid w:val="00CC2C98"/>
    <w:rsid w:val="00CC64B5"/>
    <w:rsid w:val="00CD3E71"/>
    <w:rsid w:val="00CE59F3"/>
    <w:rsid w:val="00D16EB5"/>
    <w:rsid w:val="00D33E2F"/>
    <w:rsid w:val="00D35401"/>
    <w:rsid w:val="00D44FFE"/>
    <w:rsid w:val="00D456DF"/>
    <w:rsid w:val="00D70F37"/>
    <w:rsid w:val="00D81D5A"/>
    <w:rsid w:val="00D972D6"/>
    <w:rsid w:val="00DA2022"/>
    <w:rsid w:val="00DB0067"/>
    <w:rsid w:val="00DE6DF2"/>
    <w:rsid w:val="00DF23D2"/>
    <w:rsid w:val="00DF2702"/>
    <w:rsid w:val="00E148F7"/>
    <w:rsid w:val="00E14D51"/>
    <w:rsid w:val="00E160B2"/>
    <w:rsid w:val="00E34EB0"/>
    <w:rsid w:val="00E37F59"/>
    <w:rsid w:val="00E5722D"/>
    <w:rsid w:val="00EC52C1"/>
    <w:rsid w:val="00EF4675"/>
    <w:rsid w:val="00F21978"/>
    <w:rsid w:val="00F2335B"/>
    <w:rsid w:val="00F6157B"/>
    <w:rsid w:val="00F869B2"/>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CE78"/>
  <w15:docId w15:val="{174391F3-8D75-4014-BB13-D1BBD2F1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621"/>
    <w:rPr>
      <w:rFonts w:ascii="Times New Roman" w:eastAsia="Times New Roman" w:hAnsi="Times New Roman" w:cs="Times New Roman"/>
      <w:szCs w:val="24"/>
      <w:lang w:eastAsia="de-DE"/>
    </w:rPr>
  </w:style>
  <w:style w:type="paragraph" w:styleId="berschrift1">
    <w:name w:val="heading 1"/>
    <w:basedOn w:val="Standard"/>
    <w:next w:val="Standard"/>
    <w:link w:val="berschrift1Zchn"/>
    <w:uiPriority w:val="9"/>
    <w:qFormat/>
    <w:rsid w:val="000B6BB5"/>
    <w:pPr>
      <w:keepNext/>
      <w:keepLines/>
      <w:spacing w:before="240" w:after="240"/>
      <w:outlineLvl w:val="0"/>
    </w:pPr>
    <w:rPr>
      <w:rFonts w:ascii="Verdana" w:eastAsiaTheme="majorEastAsia" w:hAnsi="Verdana" w:cstheme="majorBidi"/>
      <w:b/>
      <w:bCs/>
      <w:sz w:val="27"/>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C3621"/>
    <w:pPr>
      <w:autoSpaceDE w:val="0"/>
      <w:autoSpaceDN w:val="0"/>
      <w:adjustRightInd w:val="0"/>
    </w:pPr>
    <w:rPr>
      <w:rFonts w:ascii="INPOO G+ Times New" w:eastAsia="Times New Roman" w:hAnsi="INPOO G+ Times New" w:cs="INPOO G+ Times New"/>
      <w:color w:val="000000"/>
      <w:szCs w:val="24"/>
      <w:lang w:eastAsia="de-DE"/>
    </w:rPr>
  </w:style>
  <w:style w:type="paragraph" w:styleId="Sprechblasentext">
    <w:name w:val="Balloon Text"/>
    <w:basedOn w:val="Standard"/>
    <w:link w:val="SprechblasentextZchn"/>
    <w:uiPriority w:val="99"/>
    <w:semiHidden/>
    <w:unhideWhenUsed/>
    <w:rsid w:val="005C36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621"/>
    <w:rPr>
      <w:rFonts w:ascii="Tahoma" w:eastAsia="Times New Roman" w:hAnsi="Tahoma" w:cs="Tahoma"/>
      <w:sz w:val="16"/>
      <w:szCs w:val="16"/>
      <w:lang w:eastAsia="de-DE"/>
    </w:rPr>
  </w:style>
  <w:style w:type="paragraph" w:styleId="Listenabsatz">
    <w:name w:val="List Paragraph"/>
    <w:basedOn w:val="Standard"/>
    <w:uiPriority w:val="34"/>
    <w:qFormat/>
    <w:rsid w:val="007821FF"/>
    <w:pPr>
      <w:ind w:left="720"/>
      <w:contextualSpacing/>
    </w:pPr>
  </w:style>
  <w:style w:type="paragraph" w:styleId="Kopfzeile">
    <w:name w:val="header"/>
    <w:basedOn w:val="Standard"/>
    <w:link w:val="KopfzeileZchn"/>
    <w:uiPriority w:val="99"/>
    <w:unhideWhenUsed/>
    <w:rsid w:val="00E34EB0"/>
    <w:pPr>
      <w:tabs>
        <w:tab w:val="center" w:pos="4536"/>
        <w:tab w:val="right" w:pos="9072"/>
      </w:tabs>
    </w:pPr>
  </w:style>
  <w:style w:type="character" w:customStyle="1" w:styleId="KopfzeileZchn">
    <w:name w:val="Kopfzeile Zchn"/>
    <w:basedOn w:val="Absatz-Standardschriftart"/>
    <w:link w:val="Kopfzeile"/>
    <w:uiPriority w:val="99"/>
    <w:rsid w:val="00E34EB0"/>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E34EB0"/>
    <w:pPr>
      <w:tabs>
        <w:tab w:val="center" w:pos="4536"/>
        <w:tab w:val="right" w:pos="9072"/>
      </w:tabs>
    </w:pPr>
  </w:style>
  <w:style w:type="character" w:customStyle="1" w:styleId="FuzeileZchn">
    <w:name w:val="Fußzeile Zchn"/>
    <w:basedOn w:val="Absatz-Standardschriftart"/>
    <w:link w:val="Fuzeile"/>
    <w:uiPriority w:val="99"/>
    <w:rsid w:val="00E34EB0"/>
    <w:rPr>
      <w:rFonts w:ascii="Times New Roman" w:eastAsia="Times New Roman" w:hAnsi="Times New Roman" w:cs="Times New Roman"/>
      <w:szCs w:val="24"/>
      <w:lang w:eastAsia="de-DE"/>
    </w:rPr>
  </w:style>
  <w:style w:type="paragraph" w:styleId="Funotentext">
    <w:name w:val="footnote text"/>
    <w:basedOn w:val="Standard"/>
    <w:link w:val="FunotentextZchn"/>
    <w:uiPriority w:val="99"/>
    <w:semiHidden/>
    <w:unhideWhenUsed/>
    <w:rsid w:val="005F62CE"/>
    <w:rPr>
      <w:sz w:val="20"/>
      <w:szCs w:val="20"/>
    </w:rPr>
  </w:style>
  <w:style w:type="character" w:customStyle="1" w:styleId="FunotentextZchn">
    <w:name w:val="Fußnotentext Zchn"/>
    <w:basedOn w:val="Absatz-Standardschriftart"/>
    <w:link w:val="Funotentext"/>
    <w:uiPriority w:val="99"/>
    <w:semiHidden/>
    <w:rsid w:val="005F62CE"/>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5F62CE"/>
    <w:rPr>
      <w:vertAlign w:val="superscript"/>
    </w:rPr>
  </w:style>
  <w:style w:type="character" w:customStyle="1" w:styleId="berschrift1Zchn">
    <w:name w:val="Überschrift 1 Zchn"/>
    <w:basedOn w:val="Absatz-Standardschriftart"/>
    <w:link w:val="berschrift1"/>
    <w:uiPriority w:val="9"/>
    <w:rsid w:val="000B6BB5"/>
    <w:rPr>
      <w:rFonts w:ascii="Verdana" w:eastAsiaTheme="majorEastAsia" w:hAnsi="Verdana" w:cstheme="majorBidi"/>
      <w:b/>
      <w:bCs/>
      <w:sz w:val="27"/>
      <w:szCs w:val="28"/>
    </w:rPr>
  </w:style>
  <w:style w:type="character" w:styleId="Hyperlink">
    <w:name w:val="Hyperlink"/>
    <w:basedOn w:val="Absatz-Standardschriftart"/>
    <w:uiPriority w:val="99"/>
    <w:unhideWhenUsed/>
    <w:rsid w:val="00893A63"/>
    <w:rPr>
      <w:color w:val="0000FF" w:themeColor="hyperlink"/>
      <w:u w:val="single"/>
    </w:rPr>
  </w:style>
  <w:style w:type="character" w:styleId="NichtaufgelsteErwhnung">
    <w:name w:val="Unresolved Mention"/>
    <w:basedOn w:val="Absatz-Standardschriftart"/>
    <w:uiPriority w:val="99"/>
    <w:semiHidden/>
    <w:unhideWhenUsed/>
    <w:rsid w:val="00893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12655">
      <w:bodyDiv w:val="1"/>
      <w:marLeft w:val="0"/>
      <w:marRight w:val="0"/>
      <w:marTop w:val="0"/>
      <w:marBottom w:val="0"/>
      <w:divBdr>
        <w:top w:val="none" w:sz="0" w:space="0" w:color="auto"/>
        <w:left w:val="none" w:sz="0" w:space="0" w:color="auto"/>
        <w:bottom w:val="none" w:sz="0" w:space="0" w:color="auto"/>
        <w:right w:val="none" w:sz="0" w:space="0" w:color="auto"/>
      </w:divBdr>
    </w:div>
    <w:div w:id="695355131">
      <w:bodyDiv w:val="1"/>
      <w:marLeft w:val="0"/>
      <w:marRight w:val="0"/>
      <w:marTop w:val="0"/>
      <w:marBottom w:val="0"/>
      <w:divBdr>
        <w:top w:val="none" w:sz="0" w:space="0" w:color="auto"/>
        <w:left w:val="none" w:sz="0" w:space="0" w:color="auto"/>
        <w:bottom w:val="none" w:sz="0" w:space="0" w:color="auto"/>
        <w:right w:val="none" w:sz="0" w:space="0" w:color="auto"/>
      </w:divBdr>
    </w:div>
    <w:div w:id="1105538035">
      <w:bodyDiv w:val="1"/>
      <w:marLeft w:val="0"/>
      <w:marRight w:val="0"/>
      <w:marTop w:val="0"/>
      <w:marBottom w:val="0"/>
      <w:divBdr>
        <w:top w:val="none" w:sz="0" w:space="0" w:color="auto"/>
        <w:left w:val="none" w:sz="0" w:space="0" w:color="auto"/>
        <w:bottom w:val="none" w:sz="0" w:space="0" w:color="auto"/>
        <w:right w:val="none" w:sz="0" w:space="0" w:color="auto"/>
      </w:divBdr>
    </w:div>
    <w:div w:id="1149977587">
      <w:bodyDiv w:val="1"/>
      <w:marLeft w:val="0"/>
      <w:marRight w:val="0"/>
      <w:marTop w:val="0"/>
      <w:marBottom w:val="0"/>
      <w:divBdr>
        <w:top w:val="none" w:sz="0" w:space="0" w:color="auto"/>
        <w:left w:val="none" w:sz="0" w:space="0" w:color="auto"/>
        <w:bottom w:val="none" w:sz="0" w:space="0" w:color="auto"/>
        <w:right w:val="none" w:sz="0" w:space="0" w:color="auto"/>
      </w:divBdr>
    </w:div>
    <w:div w:id="1536846483">
      <w:bodyDiv w:val="1"/>
      <w:marLeft w:val="0"/>
      <w:marRight w:val="0"/>
      <w:marTop w:val="0"/>
      <w:marBottom w:val="0"/>
      <w:divBdr>
        <w:top w:val="none" w:sz="0" w:space="0" w:color="auto"/>
        <w:left w:val="none" w:sz="0" w:space="0" w:color="auto"/>
        <w:bottom w:val="none" w:sz="0" w:space="0" w:color="auto"/>
        <w:right w:val="none" w:sz="0" w:space="0" w:color="auto"/>
      </w:divBdr>
    </w:div>
    <w:div w:id="1608464419">
      <w:bodyDiv w:val="1"/>
      <w:marLeft w:val="0"/>
      <w:marRight w:val="0"/>
      <w:marTop w:val="0"/>
      <w:marBottom w:val="0"/>
      <w:divBdr>
        <w:top w:val="none" w:sz="0" w:space="0" w:color="auto"/>
        <w:left w:val="none" w:sz="0" w:space="0" w:color="auto"/>
        <w:bottom w:val="none" w:sz="0" w:space="0" w:color="auto"/>
        <w:right w:val="none" w:sz="0" w:space="0" w:color="auto"/>
      </w:divBdr>
    </w:div>
    <w:div w:id="1897545629">
      <w:bodyDiv w:val="1"/>
      <w:marLeft w:val="0"/>
      <w:marRight w:val="0"/>
      <w:marTop w:val="0"/>
      <w:marBottom w:val="0"/>
      <w:divBdr>
        <w:top w:val="none" w:sz="0" w:space="0" w:color="auto"/>
        <w:left w:val="none" w:sz="0" w:space="0" w:color="auto"/>
        <w:bottom w:val="none" w:sz="0" w:space="0" w:color="auto"/>
        <w:right w:val="none" w:sz="0" w:space="0" w:color="auto"/>
      </w:divBdr>
    </w:div>
    <w:div w:id="20399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qwig.de/de/veranstaltungen/herbst-symposium/symposien-2005-2013/symposium-2011/2011-11-25-prof-dr-dr-holger-schuenemann.2050.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CDC5-7B70-4C70-AAB6-60E77511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10898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Siiri Doka</cp:lastModifiedBy>
  <cp:revision>5</cp:revision>
  <cp:lastPrinted>2019-06-07T12:04:00Z</cp:lastPrinted>
  <dcterms:created xsi:type="dcterms:W3CDTF">2020-02-17T15:45:00Z</dcterms:created>
  <dcterms:modified xsi:type="dcterms:W3CDTF">2020-02-17T16:02:00Z</dcterms:modified>
</cp:coreProperties>
</file>