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72585B">
            <w:pPr>
              <w:ind w:left="567" w:hanging="567"/>
              <w:jc w:val="both"/>
              <w:rPr>
                <w:rFonts w:ascii="Trebuchet MS" w:hAnsi="Trebuchet MS"/>
              </w:rPr>
            </w:pPr>
            <w:bookmarkStart w:id="0" w:name="_GoBack"/>
            <w:bookmarkEnd w:id="0"/>
          </w:p>
          <w:p w:rsidR="006B56FB" w:rsidRDefault="006B56FB" w:rsidP="0072585B">
            <w:pPr>
              <w:ind w:left="567" w:hanging="567"/>
              <w:jc w:val="both"/>
              <w:rPr>
                <w:rFonts w:ascii="Trebuchet MS" w:hAnsi="Trebuchet MS"/>
              </w:rPr>
            </w:pPr>
          </w:p>
          <w:p w:rsidR="006B56FB" w:rsidRDefault="00CD22E6" w:rsidP="0072585B">
            <w:pPr>
              <w:ind w:left="567" w:hanging="567"/>
              <w:jc w:val="both"/>
              <w:rPr>
                <w:rFonts w:ascii="Trebuchet MS" w:hAnsi="Trebuchet MS"/>
              </w:rPr>
            </w:pPr>
            <w:r>
              <w:rPr>
                <w:rFonts w:ascii="Trebuchet MS" w:hAnsi="Trebuchet MS"/>
                <w:noProof/>
              </w:rPr>
              <w:drawing>
                <wp:inline distT="0" distB="0" distL="0" distR="0">
                  <wp:extent cx="1682115" cy="1242695"/>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242695"/>
                          </a:xfrm>
                          <a:prstGeom prst="rect">
                            <a:avLst/>
                          </a:prstGeom>
                          <a:noFill/>
                          <a:ln>
                            <a:noFill/>
                          </a:ln>
                        </pic:spPr>
                      </pic:pic>
                    </a:graphicData>
                  </a:graphic>
                </wp:inline>
              </w:drawing>
            </w:r>
          </w:p>
          <w:p w:rsidR="006B56FB" w:rsidRDefault="006B56FB" w:rsidP="0072585B">
            <w:pPr>
              <w:ind w:left="567" w:hanging="567"/>
              <w:jc w:val="both"/>
              <w:rPr>
                <w:rFonts w:ascii="Trebuchet MS" w:hAnsi="Trebuchet MS"/>
              </w:rPr>
            </w:pPr>
          </w:p>
        </w:tc>
        <w:tc>
          <w:tcPr>
            <w:tcW w:w="6211" w:type="dxa"/>
          </w:tcPr>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p>
          <w:p w:rsidR="006B56FB" w:rsidRDefault="006B56FB" w:rsidP="0072585B">
            <w:pPr>
              <w:ind w:left="567" w:hanging="567"/>
              <w:jc w:val="both"/>
              <w:rPr>
                <w:rFonts w:ascii="Trebuchet MS" w:hAnsi="Trebuchet MS"/>
              </w:rPr>
            </w:pPr>
            <w:r>
              <w:rPr>
                <w:rFonts w:ascii="Trebuchet MS" w:hAnsi="Trebuchet MS"/>
              </w:rPr>
              <w:t>Bundesarbeitsgemeinschaft Selbsthilfe von</w:t>
            </w:r>
          </w:p>
          <w:p w:rsidR="006B56FB" w:rsidRDefault="006B56FB" w:rsidP="0072585B">
            <w:pPr>
              <w:ind w:left="567" w:hanging="567"/>
              <w:jc w:val="both"/>
              <w:rPr>
                <w:rFonts w:ascii="Trebuchet MS" w:hAnsi="Trebuchet MS"/>
              </w:rPr>
            </w:pPr>
            <w:r>
              <w:rPr>
                <w:rFonts w:ascii="Trebuchet MS" w:hAnsi="Trebuchet MS"/>
              </w:rPr>
              <w:t xml:space="preserve">Menschen mit Behinderung und chronischer </w:t>
            </w:r>
          </w:p>
          <w:p w:rsidR="006B56FB" w:rsidRDefault="006B56FB" w:rsidP="0072585B">
            <w:pPr>
              <w:ind w:left="567" w:hanging="567"/>
              <w:jc w:val="both"/>
              <w:rPr>
                <w:rFonts w:ascii="Trebuchet MS" w:hAnsi="Trebuchet MS"/>
              </w:rPr>
            </w:pPr>
            <w:r>
              <w:rPr>
                <w:rFonts w:ascii="Trebuchet MS" w:hAnsi="Trebuchet MS"/>
              </w:rPr>
              <w:t xml:space="preserve">Erkrankung und ihren Angehörigen e.V. </w:t>
            </w:r>
          </w:p>
          <w:p w:rsidR="006B56FB" w:rsidRDefault="006B56FB" w:rsidP="0072585B">
            <w:pPr>
              <w:ind w:left="567" w:hanging="567"/>
              <w:jc w:val="both"/>
              <w:rPr>
                <w:rFonts w:ascii="Trebuchet MS" w:hAnsi="Trebuchet MS"/>
              </w:rPr>
            </w:pPr>
            <w:r>
              <w:rPr>
                <w:rFonts w:ascii="Trebuchet MS" w:hAnsi="Trebuchet MS"/>
              </w:rPr>
              <w:t xml:space="preserve">BAG SELBSTHILFE </w:t>
            </w:r>
          </w:p>
          <w:p w:rsidR="006B56FB" w:rsidRDefault="006B56FB" w:rsidP="0072585B">
            <w:pPr>
              <w:ind w:left="567" w:hanging="567"/>
              <w:jc w:val="both"/>
              <w:rPr>
                <w:rFonts w:ascii="Trebuchet MS" w:hAnsi="Trebuchet MS"/>
              </w:rPr>
            </w:pPr>
            <w:r>
              <w:rPr>
                <w:rFonts w:ascii="Trebuchet MS" w:hAnsi="Trebuchet MS"/>
              </w:rPr>
              <w:t>Kirchfeldstr. 149</w:t>
            </w:r>
          </w:p>
          <w:p w:rsidR="006B56FB" w:rsidRDefault="006B56FB" w:rsidP="0072585B">
            <w:pPr>
              <w:ind w:left="567" w:hanging="567"/>
              <w:jc w:val="both"/>
              <w:rPr>
                <w:rFonts w:ascii="Trebuchet MS" w:hAnsi="Trebuchet MS"/>
              </w:rPr>
            </w:pPr>
            <w:r>
              <w:rPr>
                <w:rFonts w:ascii="Trebuchet MS" w:hAnsi="Trebuchet MS"/>
              </w:rPr>
              <w:t>40215 Düsseldorf</w:t>
            </w:r>
          </w:p>
          <w:p w:rsidR="006B56FB" w:rsidRDefault="00FD702F" w:rsidP="0072585B">
            <w:pPr>
              <w:ind w:left="567" w:hanging="567"/>
              <w:jc w:val="both"/>
              <w:rPr>
                <w:rFonts w:ascii="Trebuchet MS" w:hAnsi="Trebuchet MS"/>
              </w:rPr>
            </w:pPr>
            <w:r>
              <w:rPr>
                <w:rFonts w:ascii="Trebuchet MS" w:hAnsi="Trebuchet MS"/>
              </w:rPr>
              <w:t>Tel. 0211/31006-0</w:t>
            </w:r>
          </w:p>
          <w:p w:rsidR="001E78CF" w:rsidRDefault="00FD702F" w:rsidP="0072585B">
            <w:pPr>
              <w:ind w:left="567" w:hanging="567"/>
              <w:jc w:val="both"/>
              <w:rPr>
                <w:rFonts w:ascii="Trebuchet MS" w:hAnsi="Trebuchet MS"/>
              </w:rPr>
            </w:pPr>
            <w:r>
              <w:rPr>
                <w:rFonts w:ascii="Trebuchet MS" w:hAnsi="Trebuchet MS"/>
              </w:rPr>
              <w:t>Fax. 0211/31006-48</w:t>
            </w:r>
          </w:p>
        </w:tc>
      </w:tr>
    </w:tbl>
    <w:p w:rsidR="006B56FB" w:rsidRDefault="00F875F6" w:rsidP="0072585B">
      <w:pPr>
        <w:ind w:left="567" w:hanging="567"/>
        <w:jc w:val="both"/>
        <w:rPr>
          <w:rFonts w:ascii="Trebuchet MS" w:hAnsi="Trebuchet MS"/>
        </w:rPr>
      </w:pPr>
      <w:r>
        <w:rPr>
          <w:rFonts w:ascii="Trebuchet MS" w:hAnsi="Trebuchet MS"/>
          <w:noProof/>
        </w:rPr>
        <mc:AlternateContent>
          <mc:Choice Requires="wps">
            <w:drawing>
              <wp:anchor distT="4294967294" distB="4294967294" distL="114300" distR="114300" simplePos="0" relativeHeight="251657728" behindDoc="0" locked="0" layoutInCell="1" allowOverlap="1">
                <wp:simplePos x="0" y="0"/>
                <wp:positionH relativeFrom="column">
                  <wp:posOffset>-118745</wp:posOffset>
                </wp:positionH>
                <wp:positionV relativeFrom="paragraph">
                  <wp:posOffset>58419</wp:posOffset>
                </wp:positionV>
                <wp:extent cx="6768465" cy="0"/>
                <wp:effectExtent l="0" t="19050" r="1333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7204"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D5819" w:rsidRDefault="005D5819" w:rsidP="0072585B">
      <w:pPr>
        <w:ind w:left="567" w:hanging="567"/>
      </w:pPr>
    </w:p>
    <w:p w:rsidR="005D5819" w:rsidRDefault="005D5819" w:rsidP="0072585B">
      <w:pPr>
        <w:ind w:left="567" w:hanging="567"/>
      </w:pPr>
    </w:p>
    <w:p w:rsidR="00E82EE9"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Stellungnahme der</w:t>
      </w:r>
    </w:p>
    <w:p w:rsidR="00E82EE9" w:rsidRPr="00024305" w:rsidRDefault="00E82EE9" w:rsidP="0072585B">
      <w:pPr>
        <w:ind w:left="567" w:hanging="567"/>
        <w:jc w:val="center"/>
        <w:rPr>
          <w:rFonts w:ascii="Trebuchet MS" w:hAnsi="Trebuchet MS"/>
          <w:b/>
          <w:sz w:val="36"/>
          <w:szCs w:val="36"/>
        </w:rPr>
      </w:pP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 xml:space="preserve">Bundesarbeitsgemeinschaft SELBSTHILFE </w:t>
      </w: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von Men</w:t>
      </w:r>
      <w:r w:rsidR="001E78CF" w:rsidRPr="00024305">
        <w:rPr>
          <w:rFonts w:ascii="Trebuchet MS" w:hAnsi="Trebuchet MS"/>
          <w:b/>
          <w:sz w:val="36"/>
          <w:szCs w:val="36"/>
        </w:rPr>
        <w:t xml:space="preserve">schen mit Behinderung, </w:t>
      </w:r>
    </w:p>
    <w:p w:rsidR="001E78CF" w:rsidRPr="00024305" w:rsidRDefault="00E82EE9" w:rsidP="0072585B">
      <w:pPr>
        <w:ind w:left="567" w:hanging="567"/>
        <w:jc w:val="center"/>
        <w:rPr>
          <w:rFonts w:ascii="Trebuchet MS" w:hAnsi="Trebuchet MS"/>
          <w:b/>
          <w:sz w:val="36"/>
          <w:szCs w:val="36"/>
        </w:rPr>
      </w:pPr>
      <w:r w:rsidRPr="00024305">
        <w:rPr>
          <w:rFonts w:ascii="Trebuchet MS" w:hAnsi="Trebuchet MS"/>
          <w:b/>
          <w:sz w:val="36"/>
          <w:szCs w:val="36"/>
        </w:rPr>
        <w:t>ch</w:t>
      </w:r>
      <w:r w:rsidR="001E78CF" w:rsidRPr="00024305">
        <w:rPr>
          <w:rFonts w:ascii="Trebuchet MS" w:hAnsi="Trebuchet MS"/>
          <w:b/>
          <w:sz w:val="36"/>
          <w:szCs w:val="36"/>
        </w:rPr>
        <w:t xml:space="preserve">ronischer Erkrankung und ihren </w:t>
      </w:r>
      <w:r w:rsidRPr="00024305">
        <w:rPr>
          <w:rFonts w:ascii="Trebuchet MS" w:hAnsi="Trebuchet MS"/>
          <w:b/>
          <w:sz w:val="36"/>
          <w:szCs w:val="36"/>
        </w:rPr>
        <w:t>Angehöri</w:t>
      </w:r>
      <w:r w:rsidR="001E78CF" w:rsidRPr="00024305">
        <w:rPr>
          <w:rFonts w:ascii="Trebuchet MS" w:hAnsi="Trebuchet MS"/>
          <w:b/>
          <w:sz w:val="36"/>
          <w:szCs w:val="36"/>
        </w:rPr>
        <w:t xml:space="preserve">gen e.V. </w:t>
      </w:r>
    </w:p>
    <w:p w:rsidR="00E82EE9" w:rsidRPr="00024305" w:rsidRDefault="001E78CF" w:rsidP="0072585B">
      <w:pPr>
        <w:ind w:left="567" w:hanging="567"/>
        <w:jc w:val="center"/>
        <w:rPr>
          <w:rFonts w:ascii="Trebuchet MS" w:hAnsi="Trebuchet MS"/>
          <w:b/>
          <w:sz w:val="36"/>
          <w:szCs w:val="36"/>
        </w:rPr>
      </w:pPr>
      <w:r w:rsidRPr="00024305">
        <w:rPr>
          <w:rFonts w:ascii="Trebuchet MS" w:hAnsi="Trebuchet MS"/>
          <w:b/>
          <w:sz w:val="36"/>
          <w:szCs w:val="36"/>
        </w:rPr>
        <w:t xml:space="preserve">(BAG SELBSTHILFE) </w:t>
      </w:r>
    </w:p>
    <w:p w:rsidR="00E82EE9" w:rsidRPr="005C4FE5" w:rsidRDefault="00E82EE9" w:rsidP="0072585B">
      <w:pPr>
        <w:ind w:left="567" w:hanging="567"/>
        <w:jc w:val="center"/>
        <w:rPr>
          <w:rFonts w:ascii="Trebuchet MS" w:hAnsi="Trebuchet MS"/>
          <w:b/>
          <w:sz w:val="32"/>
          <w:szCs w:val="32"/>
        </w:rPr>
      </w:pPr>
    </w:p>
    <w:p w:rsidR="00E82EE9" w:rsidRDefault="00D378EB" w:rsidP="0072585B">
      <w:pPr>
        <w:ind w:left="567" w:hanging="567"/>
        <w:jc w:val="center"/>
        <w:rPr>
          <w:rFonts w:ascii="Trebuchet MS" w:hAnsi="Trebuchet MS"/>
          <w:b/>
          <w:sz w:val="32"/>
          <w:szCs w:val="32"/>
        </w:rPr>
      </w:pPr>
      <w:r w:rsidRPr="005C4FE5">
        <w:rPr>
          <w:rFonts w:ascii="Trebuchet MS" w:hAnsi="Trebuchet MS"/>
          <w:b/>
          <w:sz w:val="32"/>
          <w:szCs w:val="32"/>
        </w:rPr>
        <w:t>z</w:t>
      </w:r>
      <w:r w:rsidR="00F46B69" w:rsidRPr="005C4FE5">
        <w:rPr>
          <w:rFonts w:ascii="Trebuchet MS" w:hAnsi="Trebuchet MS"/>
          <w:b/>
          <w:sz w:val="32"/>
          <w:szCs w:val="32"/>
        </w:rPr>
        <w:t xml:space="preserve">um </w:t>
      </w:r>
    </w:p>
    <w:p w:rsidR="00BA2B0E" w:rsidRPr="005C4FE5" w:rsidRDefault="00BA2B0E" w:rsidP="0072585B">
      <w:pPr>
        <w:ind w:left="567" w:hanging="567"/>
        <w:jc w:val="center"/>
        <w:rPr>
          <w:rFonts w:ascii="Trebuchet MS" w:hAnsi="Trebuchet MS"/>
          <w:b/>
          <w:sz w:val="32"/>
          <w:szCs w:val="32"/>
        </w:rPr>
      </w:pPr>
    </w:p>
    <w:p w:rsidR="00BA2B0E" w:rsidRPr="00BA2B0E" w:rsidRDefault="00BA2B0E" w:rsidP="00BA2B0E">
      <w:pPr>
        <w:ind w:right="283"/>
        <w:jc w:val="center"/>
        <w:rPr>
          <w:rFonts w:ascii="Trebuchet MS" w:hAnsi="Trebuchet MS"/>
          <w:b/>
          <w:sz w:val="32"/>
          <w:szCs w:val="32"/>
        </w:rPr>
      </w:pPr>
      <w:r w:rsidRPr="00BA2B0E">
        <w:rPr>
          <w:rFonts w:ascii="Trebuchet MS" w:hAnsi="Trebuchet MS"/>
          <w:b/>
          <w:sz w:val="32"/>
          <w:szCs w:val="32"/>
        </w:rPr>
        <w:t xml:space="preserve">Referentenentwurf einer Verordnung über die Verfahrensgrundsätze der Bewertung von Untersuchungs- und Behandlungsmethoden in der vertragsärztlichen </w:t>
      </w:r>
      <w:r>
        <w:rPr>
          <w:rFonts w:ascii="Trebuchet MS" w:hAnsi="Trebuchet MS"/>
          <w:b/>
          <w:sz w:val="32"/>
          <w:szCs w:val="32"/>
        </w:rPr>
        <w:br/>
      </w:r>
      <w:r w:rsidRPr="00BA2B0E">
        <w:rPr>
          <w:rFonts w:ascii="Trebuchet MS" w:hAnsi="Trebuchet MS"/>
          <w:b/>
          <w:sz w:val="32"/>
          <w:szCs w:val="32"/>
        </w:rPr>
        <w:t>Versorgung und im Krankenhaus</w:t>
      </w:r>
    </w:p>
    <w:p w:rsidR="00BA2B0E" w:rsidRPr="00BA2B0E" w:rsidRDefault="00BA2B0E" w:rsidP="00BA2B0E">
      <w:pPr>
        <w:jc w:val="center"/>
        <w:rPr>
          <w:rFonts w:ascii="Trebuchet MS" w:hAnsi="Trebuchet MS"/>
          <w:b/>
          <w:sz w:val="32"/>
          <w:szCs w:val="32"/>
        </w:rPr>
      </w:pPr>
      <w:r w:rsidRPr="00BA2B0E">
        <w:rPr>
          <w:rFonts w:ascii="Trebuchet MS" w:hAnsi="Trebuchet MS"/>
          <w:b/>
          <w:sz w:val="32"/>
          <w:szCs w:val="32"/>
        </w:rPr>
        <w:t>(Methodenbewertungsverfahrensverordnung – MBVerfV)</w:t>
      </w:r>
    </w:p>
    <w:p w:rsidR="009F50A9" w:rsidRPr="005C4FE5" w:rsidRDefault="009F50A9" w:rsidP="00220217">
      <w:pPr>
        <w:jc w:val="center"/>
        <w:rPr>
          <w:rFonts w:ascii="Trebuchet MS" w:hAnsi="Trebuchet MS"/>
          <w:b/>
          <w:sz w:val="32"/>
          <w:szCs w:val="32"/>
        </w:rPr>
      </w:pPr>
    </w:p>
    <w:p w:rsidR="00A654C2" w:rsidRDefault="00A654C2" w:rsidP="00A654C2">
      <w:pPr>
        <w:pStyle w:val="Listenabsatz"/>
        <w:tabs>
          <w:tab w:val="left" w:pos="567"/>
        </w:tabs>
        <w:ind w:left="567"/>
        <w:rPr>
          <w:rFonts w:ascii="Trebuchet MS" w:hAnsi="Trebuchet MS"/>
          <w:sz w:val="24"/>
          <w:szCs w:val="24"/>
        </w:rPr>
      </w:pPr>
    </w:p>
    <w:p w:rsidR="00BA2B0E" w:rsidRDefault="00BA2B0E">
      <w:pPr>
        <w:rPr>
          <w:rFonts w:ascii="Trebuchet MS" w:eastAsia="Calibri" w:hAnsi="Trebuchet MS"/>
          <w:lang w:eastAsia="en-US"/>
        </w:rPr>
      </w:pPr>
      <w:r>
        <w:rPr>
          <w:rFonts w:ascii="Trebuchet MS" w:hAnsi="Trebuchet MS"/>
        </w:rPr>
        <w:br w:type="page"/>
      </w:r>
    </w:p>
    <w:p w:rsidR="00BA2B0E" w:rsidRPr="00F52713" w:rsidRDefault="00BA2B0E" w:rsidP="00BA2B0E">
      <w:pPr>
        <w:rPr>
          <w:rFonts w:ascii="Trebuchet MS" w:hAnsi="Trebuchet MS"/>
        </w:rPr>
      </w:pPr>
    </w:p>
    <w:p w:rsidR="00BA2B0E" w:rsidRPr="00F52713" w:rsidRDefault="00BA2B0E" w:rsidP="00BA2B0E">
      <w:pPr>
        <w:rPr>
          <w:rFonts w:ascii="Trebuchet MS" w:hAnsi="Trebuchet MS"/>
        </w:rPr>
      </w:pPr>
    </w:p>
    <w:p w:rsidR="00BA2B0E" w:rsidRPr="00F52713" w:rsidRDefault="00BA2B0E" w:rsidP="0075740C">
      <w:pPr>
        <w:spacing w:line="276" w:lineRule="auto"/>
        <w:rPr>
          <w:rFonts w:ascii="Trebuchet MS" w:hAnsi="Trebuchet MS"/>
        </w:rPr>
      </w:pPr>
      <w:r w:rsidRPr="00F52713">
        <w:rPr>
          <w:rFonts w:ascii="Trebuchet MS" w:hAnsi="Trebuchet MS"/>
        </w:rPr>
        <w:t>Die BAG SELBSTHILFE begrüßt das Anliegen einer</w:t>
      </w:r>
      <w:r w:rsidR="0075740C">
        <w:rPr>
          <w:rFonts w:ascii="Trebuchet MS" w:hAnsi="Trebuchet MS"/>
        </w:rPr>
        <w:t xml:space="preserve"> </w:t>
      </w:r>
      <w:r w:rsidRPr="00F52713">
        <w:rPr>
          <w:rFonts w:ascii="Trebuchet MS" w:hAnsi="Trebuchet MS"/>
        </w:rPr>
        <w:t>Beschleunigung der Verfahren zur Bewertung von Untersuchungs- und Behandlungsmethoden in der vertragsärztlichen und vertragszahnärztlichen Versorgung nach § 135 Absatz 1 SGB V und bei der Bewertung von Untersuchungs- und Behand</w:t>
      </w:r>
      <w:r w:rsidR="0075740C">
        <w:rPr>
          <w:rFonts w:ascii="Trebuchet MS" w:hAnsi="Trebuchet MS"/>
        </w:rPr>
        <w:t>lungs</w:t>
      </w:r>
      <w:r w:rsidRPr="00F52713">
        <w:rPr>
          <w:rFonts w:ascii="Trebuchet MS" w:hAnsi="Trebuchet MS"/>
        </w:rPr>
        <w:t>methoden im Rahmen einer Krankenhausbehandlung nach § 137c Absatz 1 SGB V sehr. Die BAG SELBSTHILFE ist der Auffassung, dass die vorgesehene Verordnung sehr gut geeignet ist, zur Erreichung dieses Ziels mit beizutragen.</w:t>
      </w:r>
    </w:p>
    <w:p w:rsidR="00BA2B0E" w:rsidRPr="00F52713" w:rsidRDefault="00BA2B0E" w:rsidP="0075740C">
      <w:pPr>
        <w:spacing w:line="276" w:lineRule="auto"/>
        <w:rPr>
          <w:rFonts w:ascii="Trebuchet MS" w:hAnsi="Trebuchet MS"/>
        </w:rPr>
      </w:pPr>
    </w:p>
    <w:p w:rsidR="00BA2B0E" w:rsidRDefault="00BA2B0E" w:rsidP="0075740C">
      <w:pPr>
        <w:spacing w:line="276" w:lineRule="auto"/>
        <w:rPr>
          <w:rFonts w:ascii="Trebuchet MS" w:hAnsi="Trebuchet MS"/>
        </w:rPr>
      </w:pPr>
      <w:r w:rsidRPr="00F52713">
        <w:rPr>
          <w:rFonts w:ascii="Trebuchet MS" w:hAnsi="Trebuchet MS"/>
        </w:rPr>
        <w:t xml:space="preserve">Im Einzelnen möchten wir zu dem Verordnungsentwurf noch folgende ergänzende Hinweise geben: </w:t>
      </w:r>
    </w:p>
    <w:p w:rsidR="0075740C" w:rsidRDefault="0075740C" w:rsidP="0075740C">
      <w:pPr>
        <w:spacing w:line="276" w:lineRule="auto"/>
        <w:rPr>
          <w:rFonts w:ascii="Trebuchet MS" w:hAnsi="Trebuchet MS"/>
        </w:rPr>
      </w:pPr>
    </w:p>
    <w:p w:rsidR="0075740C" w:rsidRPr="00F52713" w:rsidRDefault="0075740C" w:rsidP="0075740C">
      <w:pPr>
        <w:spacing w:line="276" w:lineRule="auto"/>
        <w:rPr>
          <w:rFonts w:ascii="Trebuchet MS" w:hAnsi="Trebuchet MS"/>
        </w:rPr>
      </w:pPr>
    </w:p>
    <w:p w:rsidR="00BA2B0E" w:rsidRDefault="00BA2B0E" w:rsidP="0075740C">
      <w:pPr>
        <w:spacing w:line="276" w:lineRule="auto"/>
        <w:rPr>
          <w:rFonts w:ascii="Trebuchet MS" w:hAnsi="Trebuchet MS"/>
          <w:b/>
        </w:rPr>
      </w:pPr>
      <w:r w:rsidRPr="00F52713">
        <w:rPr>
          <w:rFonts w:ascii="Trebuchet MS" w:hAnsi="Trebuchet MS"/>
          <w:b/>
        </w:rPr>
        <w:t>§ 2 Antragsformat</w:t>
      </w:r>
    </w:p>
    <w:p w:rsidR="0075740C" w:rsidRPr="00F52713" w:rsidRDefault="0075740C" w:rsidP="0075740C">
      <w:pPr>
        <w:spacing w:line="276" w:lineRule="auto"/>
        <w:rPr>
          <w:rFonts w:ascii="Trebuchet MS" w:hAnsi="Trebuchet MS"/>
          <w:b/>
        </w:rPr>
      </w:pPr>
    </w:p>
    <w:p w:rsidR="00BA2B0E" w:rsidRPr="00F52713" w:rsidRDefault="00BA2B0E" w:rsidP="0075740C">
      <w:pPr>
        <w:spacing w:line="276" w:lineRule="auto"/>
        <w:rPr>
          <w:rFonts w:ascii="Trebuchet MS" w:hAnsi="Trebuchet MS"/>
        </w:rPr>
      </w:pPr>
      <w:r w:rsidRPr="00F52713">
        <w:rPr>
          <w:rFonts w:ascii="Trebuchet MS" w:hAnsi="Trebuchet MS"/>
        </w:rPr>
        <w:t>Die Regelung, dass Anträge schriftlich oder elektronisch eingereicht werden können wird begrüßt, da dies den organisatorischen Aufwand reduziert.</w:t>
      </w:r>
    </w:p>
    <w:p w:rsidR="00BA2B0E" w:rsidRDefault="00BA2B0E" w:rsidP="0075740C">
      <w:pPr>
        <w:spacing w:line="276" w:lineRule="auto"/>
        <w:rPr>
          <w:rFonts w:ascii="Trebuchet MS" w:hAnsi="Trebuchet MS"/>
        </w:rPr>
      </w:pPr>
    </w:p>
    <w:p w:rsidR="0075740C" w:rsidRPr="00F52713" w:rsidRDefault="0075740C" w:rsidP="0075740C">
      <w:pPr>
        <w:spacing w:line="276" w:lineRule="auto"/>
        <w:rPr>
          <w:rFonts w:ascii="Trebuchet MS" w:hAnsi="Trebuchet MS"/>
        </w:rPr>
      </w:pPr>
    </w:p>
    <w:p w:rsidR="00BA2B0E" w:rsidRPr="00F52713" w:rsidRDefault="00BA2B0E" w:rsidP="0075740C">
      <w:pPr>
        <w:spacing w:line="276" w:lineRule="auto"/>
        <w:rPr>
          <w:rFonts w:ascii="Trebuchet MS" w:hAnsi="Trebuchet MS"/>
          <w:b/>
        </w:rPr>
      </w:pPr>
      <w:r w:rsidRPr="00F52713">
        <w:rPr>
          <w:rFonts w:ascii="Trebuchet MS" w:hAnsi="Trebuchet MS"/>
          <w:b/>
        </w:rPr>
        <w:t>§ 4 Ermittlung und Auswertung der vorliegenden Erkenntnisse</w:t>
      </w:r>
    </w:p>
    <w:p w:rsidR="00BA2B0E" w:rsidRPr="00F52713" w:rsidRDefault="00BA2B0E" w:rsidP="0075740C">
      <w:pPr>
        <w:spacing w:line="276" w:lineRule="auto"/>
        <w:rPr>
          <w:rFonts w:ascii="Trebuchet MS" w:hAnsi="Trebuchet MS"/>
          <w:b/>
        </w:rPr>
      </w:pPr>
    </w:p>
    <w:p w:rsidR="00BA2B0E" w:rsidRDefault="00BA2B0E" w:rsidP="0075740C">
      <w:pPr>
        <w:spacing w:line="276" w:lineRule="auto"/>
        <w:rPr>
          <w:rFonts w:ascii="Trebuchet MS" w:hAnsi="Trebuchet MS"/>
        </w:rPr>
      </w:pPr>
      <w:r w:rsidRPr="00F52713">
        <w:rPr>
          <w:rFonts w:ascii="Trebuchet MS" w:hAnsi="Trebuchet MS"/>
        </w:rPr>
        <w:t>In Absatz 1 ist folgende Regelung vorgesehen:</w:t>
      </w:r>
    </w:p>
    <w:p w:rsidR="0075740C" w:rsidRPr="00F52713" w:rsidRDefault="0075740C" w:rsidP="0075740C">
      <w:pPr>
        <w:spacing w:line="276" w:lineRule="auto"/>
        <w:rPr>
          <w:rFonts w:ascii="Trebuchet MS" w:hAnsi="Trebuchet MS"/>
        </w:rPr>
      </w:pPr>
    </w:p>
    <w:p w:rsidR="00BA2B0E" w:rsidRDefault="00BA2B0E" w:rsidP="0075740C">
      <w:pPr>
        <w:spacing w:line="276" w:lineRule="auto"/>
        <w:rPr>
          <w:rFonts w:ascii="Trebuchet MS" w:hAnsi="Trebuchet MS"/>
        </w:rPr>
      </w:pPr>
      <w:r w:rsidRPr="00F52713">
        <w:rPr>
          <w:rFonts w:ascii="Trebuchet MS" w:hAnsi="Trebuchet MS"/>
        </w:rPr>
        <w:t>„Für die Bewertung einer Untersuchungs- oder Behandlungsmethode nach § 135 Absatz 1 oder § 137c Absatz 1 des Fünften Buches Sozialgesetzbuch ist der aktuelle Stand der medizinischen Erkenntnisse zu ermitteln. Der Gemeinsame Bundesausschuss beauftragt seine Geschäftsstelle, das Institut für Qualität und Wirtschaftlichkeit im Gesundheitswesen oder eine andere fachlich unabhängige wissenschaftliche Institution mit der Recherche des vorhandenen Wissensstandes, insbesondere im Wege einer systematischen Literaturrecherche. Der Auftrag soll spätestens drei Monate nach der Annahme des Antrags nach § 2 Absatz 1 erteilt werde.“</w:t>
      </w:r>
    </w:p>
    <w:p w:rsidR="0075740C" w:rsidRPr="00F52713" w:rsidRDefault="0075740C" w:rsidP="0075740C">
      <w:pPr>
        <w:spacing w:line="276" w:lineRule="auto"/>
        <w:rPr>
          <w:rFonts w:ascii="Trebuchet MS" w:hAnsi="Trebuchet MS"/>
        </w:rPr>
      </w:pPr>
    </w:p>
    <w:p w:rsidR="00BA2B0E" w:rsidRPr="00F52713" w:rsidRDefault="00BA2B0E" w:rsidP="0075740C">
      <w:pPr>
        <w:spacing w:line="276" w:lineRule="auto"/>
        <w:rPr>
          <w:rFonts w:ascii="Trebuchet MS" w:hAnsi="Trebuchet MS"/>
        </w:rPr>
      </w:pPr>
      <w:r w:rsidRPr="00F52713">
        <w:rPr>
          <w:rFonts w:ascii="Trebuchet MS" w:hAnsi="Trebuchet MS"/>
        </w:rPr>
        <w:t>Hinsichtlich dieser Regelung ist darauf hinzuweisen, dass bereits der Antragsteller eine umfassende Literaturrecherche durchführen muss, weil er in seinem Antrag die relevante Literatur nachweisen muss. Somit erfolgt ohnehin eine Doppelarbeit. Daher sollte in der Regelung eine Frist für die Literaturrecherche festgelegt werden, z.B. höchstens 6 Monate.</w:t>
      </w:r>
    </w:p>
    <w:p w:rsidR="00BA2B0E" w:rsidRPr="00F52713" w:rsidRDefault="00BA2B0E" w:rsidP="0075740C">
      <w:pPr>
        <w:spacing w:line="276" w:lineRule="auto"/>
        <w:rPr>
          <w:rFonts w:ascii="Trebuchet MS" w:hAnsi="Trebuchet MS"/>
          <w:b/>
        </w:rPr>
      </w:pPr>
    </w:p>
    <w:p w:rsidR="00BA2B0E" w:rsidRPr="00F52713" w:rsidRDefault="00BA2B0E" w:rsidP="0075740C">
      <w:pPr>
        <w:spacing w:line="276" w:lineRule="auto"/>
        <w:rPr>
          <w:rFonts w:ascii="Trebuchet MS" w:hAnsi="Trebuchet MS"/>
        </w:rPr>
      </w:pPr>
      <w:r w:rsidRPr="00F52713">
        <w:rPr>
          <w:rFonts w:ascii="Trebuchet MS" w:hAnsi="Trebuchet MS"/>
        </w:rPr>
        <w:t xml:space="preserve">Die Regelung in Absatz 2 ist sehr zu begrüßen, da die Methodenbewertung hierdurch zeitlich gestrafft wird. </w:t>
      </w:r>
    </w:p>
    <w:p w:rsidR="00BA2B0E" w:rsidRPr="00F52713" w:rsidRDefault="00BA2B0E" w:rsidP="0075740C">
      <w:pPr>
        <w:spacing w:line="276" w:lineRule="auto"/>
        <w:rPr>
          <w:rFonts w:ascii="Trebuchet MS" w:hAnsi="Trebuchet MS"/>
        </w:rPr>
      </w:pPr>
    </w:p>
    <w:p w:rsidR="00BA2B0E" w:rsidRPr="00F52713" w:rsidRDefault="00BA2B0E" w:rsidP="0075740C">
      <w:pPr>
        <w:spacing w:line="276" w:lineRule="auto"/>
        <w:rPr>
          <w:rFonts w:ascii="Trebuchet MS" w:hAnsi="Trebuchet MS"/>
        </w:rPr>
      </w:pPr>
      <w:r w:rsidRPr="00F52713">
        <w:rPr>
          <w:rFonts w:ascii="Trebuchet MS" w:hAnsi="Trebuchet MS"/>
        </w:rPr>
        <w:t>Auch die Regelung in Absatz 3 Satz 3 ist sehr zu begrüßen, da hierdurch die für Feststellungen notwendige Evidenztiefe adäquat bestimmt wird.</w:t>
      </w:r>
    </w:p>
    <w:p w:rsidR="00BA2B0E" w:rsidRDefault="00BA2B0E" w:rsidP="0075740C">
      <w:pPr>
        <w:spacing w:line="276" w:lineRule="auto"/>
        <w:rPr>
          <w:rFonts w:ascii="Trebuchet MS" w:hAnsi="Trebuchet MS"/>
        </w:rPr>
      </w:pPr>
    </w:p>
    <w:p w:rsidR="0075740C" w:rsidRPr="00F52713" w:rsidRDefault="0075740C" w:rsidP="0075740C">
      <w:pPr>
        <w:spacing w:line="276" w:lineRule="auto"/>
        <w:rPr>
          <w:rFonts w:ascii="Trebuchet MS" w:hAnsi="Trebuchet MS"/>
        </w:rPr>
      </w:pPr>
    </w:p>
    <w:p w:rsidR="00BA2B0E" w:rsidRPr="00F52713" w:rsidRDefault="00BA2B0E" w:rsidP="0075740C">
      <w:pPr>
        <w:pStyle w:val="Default"/>
        <w:spacing w:line="276" w:lineRule="auto"/>
        <w:rPr>
          <w:rFonts w:ascii="Trebuchet MS" w:hAnsi="Trebuchet MS"/>
          <w:b/>
          <w:bCs/>
        </w:rPr>
      </w:pPr>
      <w:r w:rsidRPr="00F52713">
        <w:rPr>
          <w:rFonts w:ascii="Trebuchet MS" w:hAnsi="Trebuchet MS"/>
          <w:b/>
        </w:rPr>
        <w:t xml:space="preserve">§ 5 </w:t>
      </w:r>
      <w:r w:rsidRPr="00F52713">
        <w:rPr>
          <w:rFonts w:ascii="Trebuchet MS" w:hAnsi="Trebuchet MS"/>
          <w:b/>
          <w:bCs/>
        </w:rPr>
        <w:t>Bewertung und Abwägungsprozess</w:t>
      </w:r>
    </w:p>
    <w:p w:rsidR="00BA2B0E" w:rsidRPr="00F52713" w:rsidRDefault="00BA2B0E" w:rsidP="0075740C">
      <w:pPr>
        <w:pStyle w:val="Default"/>
        <w:spacing w:line="276" w:lineRule="auto"/>
        <w:rPr>
          <w:rFonts w:ascii="Trebuchet MS" w:hAnsi="Trebuchet MS"/>
          <w:b/>
          <w:bCs/>
        </w:rPr>
      </w:pPr>
    </w:p>
    <w:p w:rsidR="00BA2B0E" w:rsidRPr="00F52713" w:rsidRDefault="00BA2B0E" w:rsidP="0075740C">
      <w:pPr>
        <w:pStyle w:val="Default"/>
        <w:spacing w:line="276" w:lineRule="auto"/>
        <w:rPr>
          <w:rFonts w:ascii="Trebuchet MS" w:hAnsi="Trebuchet MS"/>
          <w:bCs/>
        </w:rPr>
      </w:pPr>
      <w:r w:rsidRPr="00F52713">
        <w:rPr>
          <w:rFonts w:ascii="Trebuchet MS" w:hAnsi="Trebuchet MS"/>
          <w:bCs/>
        </w:rPr>
        <w:t>Auch diese Regelung wird sehr begrüßt, da sie die Beratungen im Gemeinsamen Bundesausschuss strafft.</w:t>
      </w:r>
    </w:p>
    <w:p w:rsidR="00BA2B0E" w:rsidRDefault="00BA2B0E" w:rsidP="0075740C">
      <w:pPr>
        <w:pStyle w:val="Default"/>
        <w:spacing w:line="276" w:lineRule="auto"/>
        <w:rPr>
          <w:rFonts w:ascii="Trebuchet MS" w:hAnsi="Trebuchet MS"/>
          <w:bCs/>
        </w:rPr>
      </w:pPr>
    </w:p>
    <w:p w:rsidR="0075740C" w:rsidRPr="00F52713" w:rsidRDefault="0075740C" w:rsidP="0075740C">
      <w:pPr>
        <w:pStyle w:val="Default"/>
        <w:spacing w:line="276" w:lineRule="auto"/>
        <w:rPr>
          <w:rFonts w:ascii="Trebuchet MS" w:hAnsi="Trebuchet MS"/>
          <w:bCs/>
        </w:rPr>
      </w:pPr>
    </w:p>
    <w:p w:rsidR="00BA2B0E" w:rsidRPr="00F52713" w:rsidRDefault="00BA2B0E" w:rsidP="0075740C">
      <w:pPr>
        <w:pStyle w:val="Default"/>
        <w:spacing w:line="276" w:lineRule="auto"/>
        <w:rPr>
          <w:rFonts w:ascii="Trebuchet MS" w:hAnsi="Trebuchet MS"/>
          <w:b/>
        </w:rPr>
      </w:pPr>
      <w:r w:rsidRPr="00F52713">
        <w:rPr>
          <w:rFonts w:ascii="Trebuchet MS" w:hAnsi="Trebuchet MS"/>
          <w:b/>
        </w:rPr>
        <w:t>§ 6 Stellungnahmeverfahren</w:t>
      </w:r>
    </w:p>
    <w:p w:rsidR="00BA2B0E" w:rsidRPr="00F52713" w:rsidRDefault="00BA2B0E" w:rsidP="0075740C">
      <w:pPr>
        <w:pStyle w:val="Default"/>
        <w:spacing w:line="276" w:lineRule="auto"/>
        <w:rPr>
          <w:rFonts w:ascii="Trebuchet MS" w:hAnsi="Trebuchet MS"/>
        </w:rPr>
      </w:pPr>
    </w:p>
    <w:p w:rsidR="00BA2B0E" w:rsidRPr="00F52713" w:rsidRDefault="00BA2B0E" w:rsidP="0075740C">
      <w:pPr>
        <w:pStyle w:val="Default"/>
        <w:spacing w:line="276" w:lineRule="auto"/>
        <w:rPr>
          <w:rFonts w:ascii="Trebuchet MS" w:hAnsi="Trebuchet MS"/>
        </w:rPr>
      </w:pPr>
      <w:r w:rsidRPr="00F52713">
        <w:rPr>
          <w:rFonts w:ascii="Trebuchet MS" w:hAnsi="Trebuchet MS"/>
        </w:rPr>
        <w:t>Die hier vorgesehene zeitliche Nähe der Anhörung 4 Wochen nach Ende der Stellungnahmefrist wird ebenfalls sehr begrüßt.</w:t>
      </w:r>
    </w:p>
    <w:p w:rsidR="00BA2B0E" w:rsidRPr="00F52713" w:rsidRDefault="00BA2B0E" w:rsidP="0075740C">
      <w:pPr>
        <w:pStyle w:val="Default"/>
        <w:spacing w:line="276" w:lineRule="auto"/>
        <w:rPr>
          <w:rFonts w:ascii="Trebuchet MS" w:hAnsi="Trebuchet MS"/>
          <w:b/>
        </w:rPr>
      </w:pPr>
    </w:p>
    <w:p w:rsidR="00BA2B0E" w:rsidRPr="00F52713" w:rsidRDefault="00BA2B0E" w:rsidP="0075740C">
      <w:pPr>
        <w:pStyle w:val="Default"/>
        <w:spacing w:line="276" w:lineRule="auto"/>
        <w:rPr>
          <w:rFonts w:ascii="Trebuchet MS" w:hAnsi="Trebuchet MS"/>
          <w:b/>
        </w:rPr>
      </w:pPr>
    </w:p>
    <w:p w:rsidR="00BA2B0E" w:rsidRPr="00F52713" w:rsidRDefault="00BA2B0E" w:rsidP="0075740C">
      <w:pPr>
        <w:pStyle w:val="Default"/>
        <w:spacing w:line="276" w:lineRule="auto"/>
        <w:rPr>
          <w:rFonts w:ascii="Trebuchet MS" w:hAnsi="Trebuchet MS"/>
          <w:b/>
        </w:rPr>
      </w:pPr>
      <w:r w:rsidRPr="00F52713">
        <w:rPr>
          <w:rFonts w:ascii="Trebuchet MS" w:hAnsi="Trebuchet MS"/>
          <w:b/>
        </w:rPr>
        <w:t>§ 8 Tragende Gründe</w:t>
      </w:r>
    </w:p>
    <w:p w:rsidR="00BA2B0E" w:rsidRPr="00F52713" w:rsidRDefault="00BA2B0E" w:rsidP="0075740C">
      <w:pPr>
        <w:pStyle w:val="Default"/>
        <w:spacing w:line="276" w:lineRule="auto"/>
        <w:rPr>
          <w:rFonts w:ascii="Trebuchet MS" w:hAnsi="Trebuchet MS"/>
          <w:b/>
        </w:rPr>
      </w:pPr>
    </w:p>
    <w:p w:rsidR="00BA2B0E" w:rsidRPr="00F52713" w:rsidRDefault="00BA2B0E" w:rsidP="0075740C">
      <w:pPr>
        <w:pStyle w:val="Default"/>
        <w:spacing w:line="276" w:lineRule="auto"/>
        <w:rPr>
          <w:rFonts w:ascii="Trebuchet MS" w:hAnsi="Trebuchet MS"/>
        </w:rPr>
      </w:pPr>
      <w:r w:rsidRPr="00F52713">
        <w:rPr>
          <w:rFonts w:ascii="Trebuchet MS" w:hAnsi="Trebuchet MS"/>
        </w:rPr>
        <w:t>In Absatz 2 Nr. 1 findet sich zu Beginn die folgende Formulierung:  „Vorliegende Erkenntnisse und Wahrscheinlichkeiten zu positiven und negativen medizinischen Effekten, einschließlich der Übertragbarkeit von Erkenntnissen zu anderen Methoden oder Anwendungsgebieten, auch unter Berücksichtigung von unter Alltagsbedingungen gewonnenen Erkenntnissen, …“</w:t>
      </w:r>
    </w:p>
    <w:p w:rsidR="00BA2B0E" w:rsidRPr="00F52713" w:rsidRDefault="00BA2B0E" w:rsidP="0075740C">
      <w:pPr>
        <w:pStyle w:val="Default"/>
        <w:spacing w:line="276" w:lineRule="auto"/>
        <w:rPr>
          <w:rFonts w:ascii="Trebuchet MS" w:hAnsi="Trebuchet MS"/>
        </w:rPr>
      </w:pPr>
    </w:p>
    <w:p w:rsidR="00BA2B0E" w:rsidRPr="00F52713" w:rsidRDefault="00BA2B0E" w:rsidP="0075740C">
      <w:pPr>
        <w:pStyle w:val="Default"/>
        <w:spacing w:line="276" w:lineRule="auto"/>
        <w:rPr>
          <w:rFonts w:ascii="Trebuchet MS" w:hAnsi="Trebuchet MS"/>
        </w:rPr>
      </w:pPr>
      <w:r w:rsidRPr="00F52713">
        <w:rPr>
          <w:rFonts w:ascii="Trebuchet MS" w:hAnsi="Trebuchet MS"/>
        </w:rPr>
        <w:t>Aus Sicht der BAG SELBSTHILFE sollte hinter dem Begriff „Effekte“ der Einschub, „insbesondere patientenrelevante Eff</w:t>
      </w:r>
      <w:r w:rsidR="0075740C">
        <w:rPr>
          <w:rFonts w:ascii="Trebuchet MS" w:hAnsi="Trebuchet MS"/>
        </w:rPr>
        <w:t>ekte“ ergänzt werden, um sicherzu</w:t>
      </w:r>
      <w:r w:rsidRPr="00F52713">
        <w:rPr>
          <w:rFonts w:ascii="Trebuchet MS" w:hAnsi="Trebuchet MS"/>
        </w:rPr>
        <w:t>stellen, dass sich die Ausführungen auf den patientenrelevanten (Zusatz-) Nutzen beziehen.</w:t>
      </w:r>
    </w:p>
    <w:p w:rsidR="00BA2B0E" w:rsidRDefault="00BA2B0E" w:rsidP="0075740C">
      <w:pPr>
        <w:pStyle w:val="Default"/>
        <w:spacing w:line="276" w:lineRule="auto"/>
        <w:rPr>
          <w:rFonts w:ascii="Trebuchet MS" w:hAnsi="Trebuchet MS"/>
        </w:rPr>
      </w:pPr>
    </w:p>
    <w:p w:rsidR="0075740C" w:rsidRPr="00F52713" w:rsidRDefault="0075740C" w:rsidP="0075740C">
      <w:pPr>
        <w:pStyle w:val="Default"/>
        <w:spacing w:line="276" w:lineRule="auto"/>
        <w:rPr>
          <w:rFonts w:ascii="Trebuchet MS" w:hAnsi="Trebuchet MS"/>
        </w:rPr>
      </w:pPr>
    </w:p>
    <w:p w:rsidR="00BA2B0E" w:rsidRPr="00F52713" w:rsidRDefault="00BA2B0E" w:rsidP="0075740C">
      <w:pPr>
        <w:pStyle w:val="Default"/>
        <w:spacing w:line="276" w:lineRule="auto"/>
        <w:rPr>
          <w:rFonts w:ascii="Trebuchet MS" w:hAnsi="Trebuchet MS"/>
        </w:rPr>
      </w:pPr>
      <w:r w:rsidRPr="00F52713">
        <w:rPr>
          <w:rFonts w:ascii="Trebuchet MS" w:hAnsi="Trebuchet MS"/>
        </w:rPr>
        <w:t>Düsseldorf, den 29.05.2020</w:t>
      </w:r>
    </w:p>
    <w:p w:rsidR="00220217" w:rsidRDefault="00220217" w:rsidP="0075740C">
      <w:pPr>
        <w:pStyle w:val="Listenabsatz"/>
        <w:tabs>
          <w:tab w:val="left" w:pos="567"/>
        </w:tabs>
        <w:spacing w:line="276" w:lineRule="auto"/>
        <w:ind w:left="567"/>
        <w:rPr>
          <w:rFonts w:ascii="Trebuchet MS" w:hAnsi="Trebuchet MS"/>
          <w:sz w:val="24"/>
          <w:szCs w:val="24"/>
        </w:rPr>
      </w:pPr>
    </w:p>
    <w:sectPr w:rsidR="00220217"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D12" w:rsidRDefault="00437D12" w:rsidP="006B56FB">
      <w:r>
        <w:separator/>
      </w:r>
    </w:p>
  </w:endnote>
  <w:endnote w:type="continuationSeparator" w:id="0">
    <w:p w:rsidR="00437D12" w:rsidRDefault="00437D12"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6C" w:rsidRDefault="007406DA">
    <w:pPr>
      <w:pStyle w:val="Fuzeile"/>
      <w:jc w:val="right"/>
    </w:pPr>
    <w:r>
      <w:fldChar w:fldCharType="begin"/>
    </w:r>
    <w:r w:rsidR="00C30A6C">
      <w:instrText>PAGE   \* MERGEFORMAT</w:instrText>
    </w:r>
    <w:r>
      <w:fldChar w:fldCharType="separate"/>
    </w:r>
    <w:r w:rsidR="00804690">
      <w:rPr>
        <w:noProof/>
      </w:rPr>
      <w:t>3</w:t>
    </w:r>
    <w:r>
      <w:fldChar w:fldCharType="end"/>
    </w:r>
  </w:p>
  <w:p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D12" w:rsidRDefault="00437D12" w:rsidP="006B56FB">
      <w:r>
        <w:separator/>
      </w:r>
    </w:p>
  </w:footnote>
  <w:footnote w:type="continuationSeparator" w:id="0">
    <w:p w:rsidR="00437D12" w:rsidRDefault="00437D12"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524"/>
        </w:tabs>
        <w:ind w:left="1524" w:hanging="39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 w15:restartNumberingAfterBreak="0">
    <w:nsid w:val="029116D1"/>
    <w:multiLevelType w:val="hybridMultilevel"/>
    <w:tmpl w:val="EA7C52F0"/>
    <w:lvl w:ilvl="0" w:tplc="48CE737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04B96F74"/>
    <w:multiLevelType w:val="hybridMultilevel"/>
    <w:tmpl w:val="139471F2"/>
    <w:lvl w:ilvl="0" w:tplc="848EB946">
      <w:numFmt w:val="bullet"/>
      <w:lvlText w:val="-"/>
      <w:lvlJc w:val="left"/>
      <w:pPr>
        <w:ind w:left="1287" w:hanging="360"/>
      </w:pPr>
      <w:rPr>
        <w:rFonts w:ascii="Trebuchet MS" w:eastAsia="Times New Roman" w:hAnsi="Trebuchet M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0C9158E8"/>
    <w:multiLevelType w:val="hybridMultilevel"/>
    <w:tmpl w:val="6D749028"/>
    <w:lvl w:ilvl="0" w:tplc="D82A6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D156A9"/>
    <w:multiLevelType w:val="hybridMultilevel"/>
    <w:tmpl w:val="BA5CF3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0"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FF12C1"/>
    <w:multiLevelType w:val="hybridMultilevel"/>
    <w:tmpl w:val="6A0006CA"/>
    <w:lvl w:ilvl="0" w:tplc="EB7A2C52">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10E47"/>
    <w:multiLevelType w:val="hybridMultilevel"/>
    <w:tmpl w:val="AC78014E"/>
    <w:lvl w:ilvl="0" w:tplc="096495FE">
      <w:start w:val="13"/>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1575A"/>
    <w:multiLevelType w:val="hybridMultilevel"/>
    <w:tmpl w:val="7062F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8"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14"/>
  </w:num>
  <w:num w:numId="5">
    <w:abstractNumId w:val="11"/>
  </w:num>
  <w:num w:numId="6">
    <w:abstractNumId w:val="18"/>
  </w:num>
  <w:num w:numId="7">
    <w:abstractNumId w:val="31"/>
  </w:num>
  <w:num w:numId="8">
    <w:abstractNumId w:val="9"/>
  </w:num>
  <w:num w:numId="9">
    <w:abstractNumId w:val="7"/>
  </w:num>
  <w:num w:numId="10">
    <w:abstractNumId w:val="4"/>
  </w:num>
  <w:num w:numId="11">
    <w:abstractNumId w:val="20"/>
  </w:num>
  <w:num w:numId="12">
    <w:abstractNumId w:val="33"/>
  </w:num>
  <w:num w:numId="13">
    <w:abstractNumId w:val="23"/>
  </w:num>
  <w:num w:numId="14">
    <w:abstractNumId w:val="5"/>
  </w:num>
  <w:num w:numId="15">
    <w:abstractNumId w:val="16"/>
  </w:num>
  <w:num w:numId="16">
    <w:abstractNumId w:val="10"/>
  </w:num>
  <w:num w:numId="17">
    <w:abstractNumId w:val="19"/>
  </w:num>
  <w:num w:numId="18">
    <w:abstractNumId w:val="13"/>
  </w:num>
  <w:num w:numId="19">
    <w:abstractNumId w:val="29"/>
  </w:num>
  <w:num w:numId="20">
    <w:abstractNumId w:val="24"/>
  </w:num>
  <w:num w:numId="21">
    <w:abstractNumId w:val="17"/>
  </w:num>
  <w:num w:numId="22">
    <w:abstractNumId w:val="25"/>
  </w:num>
  <w:num w:numId="23">
    <w:abstractNumId w:val="6"/>
  </w:num>
  <w:num w:numId="24">
    <w:abstractNumId w:val="32"/>
  </w:num>
  <w:num w:numId="25">
    <w:abstractNumId w:val="26"/>
  </w:num>
  <w:num w:numId="26">
    <w:abstractNumId w:val="28"/>
  </w:num>
  <w:num w:numId="27">
    <w:abstractNumId w:val="30"/>
  </w:num>
  <w:num w:numId="28">
    <w:abstractNumId w:val="22"/>
  </w:num>
  <w:num w:numId="29">
    <w:abstractNumId w:val="12"/>
  </w:num>
  <w:num w:numId="30">
    <w:abstractNumId w:val="1"/>
  </w:num>
  <w:num w:numId="31">
    <w:abstractNumId w:val="3"/>
  </w:num>
  <w:num w:numId="32">
    <w:abstractNumId w:val="8"/>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37A"/>
    <w:rsid w:val="000175EB"/>
    <w:rsid w:val="00024305"/>
    <w:rsid w:val="00026812"/>
    <w:rsid w:val="000322BC"/>
    <w:rsid w:val="00034E92"/>
    <w:rsid w:val="000364D8"/>
    <w:rsid w:val="00036A70"/>
    <w:rsid w:val="00036DEE"/>
    <w:rsid w:val="000373DD"/>
    <w:rsid w:val="00051F7B"/>
    <w:rsid w:val="0005302B"/>
    <w:rsid w:val="00055A50"/>
    <w:rsid w:val="0006395E"/>
    <w:rsid w:val="00065BBA"/>
    <w:rsid w:val="00072C5C"/>
    <w:rsid w:val="00080DF2"/>
    <w:rsid w:val="0009243D"/>
    <w:rsid w:val="00092EE9"/>
    <w:rsid w:val="00095540"/>
    <w:rsid w:val="000C0B85"/>
    <w:rsid w:val="000C156E"/>
    <w:rsid w:val="000C4C3E"/>
    <w:rsid w:val="000C5EE4"/>
    <w:rsid w:val="000C730A"/>
    <w:rsid w:val="000D0BF5"/>
    <w:rsid w:val="000D3999"/>
    <w:rsid w:val="000D4486"/>
    <w:rsid w:val="000D6405"/>
    <w:rsid w:val="000E5582"/>
    <w:rsid w:val="001026AF"/>
    <w:rsid w:val="0010379E"/>
    <w:rsid w:val="001060AC"/>
    <w:rsid w:val="001060C3"/>
    <w:rsid w:val="00107B10"/>
    <w:rsid w:val="001155E8"/>
    <w:rsid w:val="001212C1"/>
    <w:rsid w:val="0012528E"/>
    <w:rsid w:val="00125E91"/>
    <w:rsid w:val="00132057"/>
    <w:rsid w:val="00133E88"/>
    <w:rsid w:val="001346E9"/>
    <w:rsid w:val="001550F2"/>
    <w:rsid w:val="001573AB"/>
    <w:rsid w:val="0016019D"/>
    <w:rsid w:val="00162CEA"/>
    <w:rsid w:val="001647D0"/>
    <w:rsid w:val="00165759"/>
    <w:rsid w:val="00165B31"/>
    <w:rsid w:val="001775CB"/>
    <w:rsid w:val="00181D50"/>
    <w:rsid w:val="00183C91"/>
    <w:rsid w:val="0019334F"/>
    <w:rsid w:val="001955FB"/>
    <w:rsid w:val="00195AF1"/>
    <w:rsid w:val="001A4D06"/>
    <w:rsid w:val="001A7FCC"/>
    <w:rsid w:val="001B0EE9"/>
    <w:rsid w:val="001B3156"/>
    <w:rsid w:val="001B7653"/>
    <w:rsid w:val="001C5D44"/>
    <w:rsid w:val="001D46D1"/>
    <w:rsid w:val="001D75F6"/>
    <w:rsid w:val="001E78CF"/>
    <w:rsid w:val="0020024C"/>
    <w:rsid w:val="00202052"/>
    <w:rsid w:val="00204B2A"/>
    <w:rsid w:val="0020544E"/>
    <w:rsid w:val="00220217"/>
    <w:rsid w:val="00225296"/>
    <w:rsid w:val="00227358"/>
    <w:rsid w:val="002314EC"/>
    <w:rsid w:val="00243C79"/>
    <w:rsid w:val="0024530B"/>
    <w:rsid w:val="0024562F"/>
    <w:rsid w:val="00247283"/>
    <w:rsid w:val="002478AD"/>
    <w:rsid w:val="00250704"/>
    <w:rsid w:val="00254BD5"/>
    <w:rsid w:val="00255658"/>
    <w:rsid w:val="00257787"/>
    <w:rsid w:val="00263E51"/>
    <w:rsid w:val="00270B90"/>
    <w:rsid w:val="002800E6"/>
    <w:rsid w:val="00282F65"/>
    <w:rsid w:val="00283A45"/>
    <w:rsid w:val="00284052"/>
    <w:rsid w:val="0029263C"/>
    <w:rsid w:val="00296392"/>
    <w:rsid w:val="002A4F1D"/>
    <w:rsid w:val="002B3664"/>
    <w:rsid w:val="002B4696"/>
    <w:rsid w:val="002C420A"/>
    <w:rsid w:val="002C46C5"/>
    <w:rsid w:val="002C513E"/>
    <w:rsid w:val="002C61C2"/>
    <w:rsid w:val="002D5A6A"/>
    <w:rsid w:val="002E0575"/>
    <w:rsid w:val="002E1BC8"/>
    <w:rsid w:val="002E2EA1"/>
    <w:rsid w:val="002E30C6"/>
    <w:rsid w:val="002E5C46"/>
    <w:rsid w:val="002F01D0"/>
    <w:rsid w:val="0030025E"/>
    <w:rsid w:val="00312AF6"/>
    <w:rsid w:val="003169C7"/>
    <w:rsid w:val="00321B5E"/>
    <w:rsid w:val="00331292"/>
    <w:rsid w:val="00332296"/>
    <w:rsid w:val="003335FF"/>
    <w:rsid w:val="00341B8C"/>
    <w:rsid w:val="003460BB"/>
    <w:rsid w:val="0035331A"/>
    <w:rsid w:val="003610D7"/>
    <w:rsid w:val="00362871"/>
    <w:rsid w:val="00362B32"/>
    <w:rsid w:val="0037324B"/>
    <w:rsid w:val="003759D7"/>
    <w:rsid w:val="00381457"/>
    <w:rsid w:val="00384983"/>
    <w:rsid w:val="0039178F"/>
    <w:rsid w:val="00392AFD"/>
    <w:rsid w:val="0039482E"/>
    <w:rsid w:val="003A43B7"/>
    <w:rsid w:val="003A54F7"/>
    <w:rsid w:val="003A551D"/>
    <w:rsid w:val="003B2C3F"/>
    <w:rsid w:val="003B3675"/>
    <w:rsid w:val="003B3AE9"/>
    <w:rsid w:val="003B7CEB"/>
    <w:rsid w:val="003C2A87"/>
    <w:rsid w:val="003D4505"/>
    <w:rsid w:val="003E1A52"/>
    <w:rsid w:val="003E5254"/>
    <w:rsid w:val="003E74CF"/>
    <w:rsid w:val="003F5A92"/>
    <w:rsid w:val="003F698C"/>
    <w:rsid w:val="0040200D"/>
    <w:rsid w:val="00405C56"/>
    <w:rsid w:val="004239EB"/>
    <w:rsid w:val="00426D8E"/>
    <w:rsid w:val="00436917"/>
    <w:rsid w:val="00437D12"/>
    <w:rsid w:val="0045201F"/>
    <w:rsid w:val="00453463"/>
    <w:rsid w:val="00466998"/>
    <w:rsid w:val="00471623"/>
    <w:rsid w:val="00472609"/>
    <w:rsid w:val="00475104"/>
    <w:rsid w:val="00481AB1"/>
    <w:rsid w:val="00485B1F"/>
    <w:rsid w:val="004A61C2"/>
    <w:rsid w:val="004A646D"/>
    <w:rsid w:val="004B0586"/>
    <w:rsid w:val="004B71D7"/>
    <w:rsid w:val="004C29AE"/>
    <w:rsid w:val="004C6E41"/>
    <w:rsid w:val="004C76D2"/>
    <w:rsid w:val="004C7CEB"/>
    <w:rsid w:val="004D0FC2"/>
    <w:rsid w:val="004D2FA1"/>
    <w:rsid w:val="004D30AF"/>
    <w:rsid w:val="004D5369"/>
    <w:rsid w:val="004E095F"/>
    <w:rsid w:val="004E488F"/>
    <w:rsid w:val="004E50F0"/>
    <w:rsid w:val="004E5CCB"/>
    <w:rsid w:val="004F0206"/>
    <w:rsid w:val="004F11E8"/>
    <w:rsid w:val="004F184E"/>
    <w:rsid w:val="004F208A"/>
    <w:rsid w:val="004F4B20"/>
    <w:rsid w:val="004F776F"/>
    <w:rsid w:val="0050017B"/>
    <w:rsid w:val="00506B24"/>
    <w:rsid w:val="00512734"/>
    <w:rsid w:val="005164C3"/>
    <w:rsid w:val="005212B7"/>
    <w:rsid w:val="00525B7B"/>
    <w:rsid w:val="00526FB9"/>
    <w:rsid w:val="00533680"/>
    <w:rsid w:val="00536571"/>
    <w:rsid w:val="00536B9A"/>
    <w:rsid w:val="00542F62"/>
    <w:rsid w:val="00555009"/>
    <w:rsid w:val="00556EFD"/>
    <w:rsid w:val="0058355D"/>
    <w:rsid w:val="00583B0A"/>
    <w:rsid w:val="0058439F"/>
    <w:rsid w:val="0058461C"/>
    <w:rsid w:val="005875CB"/>
    <w:rsid w:val="00592EFB"/>
    <w:rsid w:val="00595517"/>
    <w:rsid w:val="005A1DFE"/>
    <w:rsid w:val="005A2869"/>
    <w:rsid w:val="005A58E5"/>
    <w:rsid w:val="005B32C9"/>
    <w:rsid w:val="005B35BE"/>
    <w:rsid w:val="005B60E0"/>
    <w:rsid w:val="005C0B44"/>
    <w:rsid w:val="005C2105"/>
    <w:rsid w:val="005C3108"/>
    <w:rsid w:val="005C3738"/>
    <w:rsid w:val="005C4FE5"/>
    <w:rsid w:val="005D5819"/>
    <w:rsid w:val="005E0D13"/>
    <w:rsid w:val="005E1770"/>
    <w:rsid w:val="005E1B5B"/>
    <w:rsid w:val="005E58B2"/>
    <w:rsid w:val="005F1EA4"/>
    <w:rsid w:val="005F48EC"/>
    <w:rsid w:val="005F6C42"/>
    <w:rsid w:val="00601A26"/>
    <w:rsid w:val="00603000"/>
    <w:rsid w:val="00603416"/>
    <w:rsid w:val="006054C3"/>
    <w:rsid w:val="00606B56"/>
    <w:rsid w:val="00606D52"/>
    <w:rsid w:val="00607536"/>
    <w:rsid w:val="00610C7D"/>
    <w:rsid w:val="00612043"/>
    <w:rsid w:val="00624D7E"/>
    <w:rsid w:val="00632CE3"/>
    <w:rsid w:val="00636CC0"/>
    <w:rsid w:val="006374AA"/>
    <w:rsid w:val="00650D6C"/>
    <w:rsid w:val="00654D58"/>
    <w:rsid w:val="0065556B"/>
    <w:rsid w:val="006648EF"/>
    <w:rsid w:val="006729F6"/>
    <w:rsid w:val="00677972"/>
    <w:rsid w:val="0068092D"/>
    <w:rsid w:val="006819F4"/>
    <w:rsid w:val="00691255"/>
    <w:rsid w:val="006939C9"/>
    <w:rsid w:val="006B2A5E"/>
    <w:rsid w:val="006B56FB"/>
    <w:rsid w:val="006B614B"/>
    <w:rsid w:val="006C1545"/>
    <w:rsid w:val="006C168A"/>
    <w:rsid w:val="006C22BE"/>
    <w:rsid w:val="006C31F2"/>
    <w:rsid w:val="006C515A"/>
    <w:rsid w:val="006D506F"/>
    <w:rsid w:val="006E257D"/>
    <w:rsid w:val="006E2FD4"/>
    <w:rsid w:val="006E34CF"/>
    <w:rsid w:val="006F12FA"/>
    <w:rsid w:val="006F3CF2"/>
    <w:rsid w:val="006F4529"/>
    <w:rsid w:val="006F5A6C"/>
    <w:rsid w:val="006F66A2"/>
    <w:rsid w:val="00700B57"/>
    <w:rsid w:val="0070437E"/>
    <w:rsid w:val="00705A03"/>
    <w:rsid w:val="00721DEB"/>
    <w:rsid w:val="00722D03"/>
    <w:rsid w:val="0072585B"/>
    <w:rsid w:val="00733D73"/>
    <w:rsid w:val="00734C19"/>
    <w:rsid w:val="00740046"/>
    <w:rsid w:val="007406DA"/>
    <w:rsid w:val="00741D0A"/>
    <w:rsid w:val="00742342"/>
    <w:rsid w:val="0074594D"/>
    <w:rsid w:val="00752718"/>
    <w:rsid w:val="0075740C"/>
    <w:rsid w:val="007712CA"/>
    <w:rsid w:val="007833F1"/>
    <w:rsid w:val="00786E72"/>
    <w:rsid w:val="00790BCD"/>
    <w:rsid w:val="00791C5E"/>
    <w:rsid w:val="00794EC6"/>
    <w:rsid w:val="00794FA7"/>
    <w:rsid w:val="007960C2"/>
    <w:rsid w:val="0079654C"/>
    <w:rsid w:val="007A00ED"/>
    <w:rsid w:val="007A014B"/>
    <w:rsid w:val="007A171C"/>
    <w:rsid w:val="007A1FCE"/>
    <w:rsid w:val="007A646E"/>
    <w:rsid w:val="007B0F74"/>
    <w:rsid w:val="007B187C"/>
    <w:rsid w:val="007C3C64"/>
    <w:rsid w:val="007D0AE5"/>
    <w:rsid w:val="007D1C8E"/>
    <w:rsid w:val="007D1D05"/>
    <w:rsid w:val="007D57A3"/>
    <w:rsid w:val="007E04FB"/>
    <w:rsid w:val="007E347B"/>
    <w:rsid w:val="007E3F06"/>
    <w:rsid w:val="007F4639"/>
    <w:rsid w:val="007F4BF1"/>
    <w:rsid w:val="00802005"/>
    <w:rsid w:val="00803806"/>
    <w:rsid w:val="00804690"/>
    <w:rsid w:val="008047E9"/>
    <w:rsid w:val="0080545B"/>
    <w:rsid w:val="0080659A"/>
    <w:rsid w:val="00806DF7"/>
    <w:rsid w:val="00807677"/>
    <w:rsid w:val="00815EE0"/>
    <w:rsid w:val="00820E10"/>
    <w:rsid w:val="008260AA"/>
    <w:rsid w:val="0083240C"/>
    <w:rsid w:val="00833823"/>
    <w:rsid w:val="00837DBF"/>
    <w:rsid w:val="00840EA7"/>
    <w:rsid w:val="00845311"/>
    <w:rsid w:val="00851579"/>
    <w:rsid w:val="008550F8"/>
    <w:rsid w:val="00863582"/>
    <w:rsid w:val="00867D06"/>
    <w:rsid w:val="008727C0"/>
    <w:rsid w:val="00874AFB"/>
    <w:rsid w:val="00880203"/>
    <w:rsid w:val="008807D4"/>
    <w:rsid w:val="008B1749"/>
    <w:rsid w:val="008B730C"/>
    <w:rsid w:val="008C0C61"/>
    <w:rsid w:val="008C1DA1"/>
    <w:rsid w:val="008C726C"/>
    <w:rsid w:val="008D71DE"/>
    <w:rsid w:val="008E0368"/>
    <w:rsid w:val="008E1F91"/>
    <w:rsid w:val="008E5CC4"/>
    <w:rsid w:val="008F0008"/>
    <w:rsid w:val="008F029A"/>
    <w:rsid w:val="008F1374"/>
    <w:rsid w:val="008F26FC"/>
    <w:rsid w:val="00904DAF"/>
    <w:rsid w:val="00906264"/>
    <w:rsid w:val="0091082C"/>
    <w:rsid w:val="009124CA"/>
    <w:rsid w:val="00912E84"/>
    <w:rsid w:val="00914E4B"/>
    <w:rsid w:val="0092050F"/>
    <w:rsid w:val="00922EAC"/>
    <w:rsid w:val="00925517"/>
    <w:rsid w:val="009273B9"/>
    <w:rsid w:val="0093019A"/>
    <w:rsid w:val="00936E77"/>
    <w:rsid w:val="009438AC"/>
    <w:rsid w:val="00955FDA"/>
    <w:rsid w:val="00956139"/>
    <w:rsid w:val="00962A0E"/>
    <w:rsid w:val="00972DDD"/>
    <w:rsid w:val="00980853"/>
    <w:rsid w:val="009813DF"/>
    <w:rsid w:val="0098161F"/>
    <w:rsid w:val="009835C2"/>
    <w:rsid w:val="00991604"/>
    <w:rsid w:val="009A518B"/>
    <w:rsid w:val="009A5FF3"/>
    <w:rsid w:val="009B5C39"/>
    <w:rsid w:val="009C1287"/>
    <w:rsid w:val="009C1B08"/>
    <w:rsid w:val="009C7411"/>
    <w:rsid w:val="009D06EE"/>
    <w:rsid w:val="009D59B6"/>
    <w:rsid w:val="009E1E5D"/>
    <w:rsid w:val="009E6272"/>
    <w:rsid w:val="009E7E8E"/>
    <w:rsid w:val="009F00BC"/>
    <w:rsid w:val="009F076E"/>
    <w:rsid w:val="009F09FF"/>
    <w:rsid w:val="009F4193"/>
    <w:rsid w:val="009F50A9"/>
    <w:rsid w:val="009F6A2E"/>
    <w:rsid w:val="009F7EC0"/>
    <w:rsid w:val="00A12264"/>
    <w:rsid w:val="00A13FFA"/>
    <w:rsid w:val="00A17EBA"/>
    <w:rsid w:val="00A22159"/>
    <w:rsid w:val="00A30DCC"/>
    <w:rsid w:val="00A340CC"/>
    <w:rsid w:val="00A3561B"/>
    <w:rsid w:val="00A36CDC"/>
    <w:rsid w:val="00A4148D"/>
    <w:rsid w:val="00A43917"/>
    <w:rsid w:val="00A43D49"/>
    <w:rsid w:val="00A43E50"/>
    <w:rsid w:val="00A5107D"/>
    <w:rsid w:val="00A52039"/>
    <w:rsid w:val="00A52E09"/>
    <w:rsid w:val="00A556A5"/>
    <w:rsid w:val="00A57343"/>
    <w:rsid w:val="00A654C2"/>
    <w:rsid w:val="00A6578D"/>
    <w:rsid w:val="00A674AE"/>
    <w:rsid w:val="00A70514"/>
    <w:rsid w:val="00A73752"/>
    <w:rsid w:val="00A97473"/>
    <w:rsid w:val="00A97F81"/>
    <w:rsid w:val="00AA2D42"/>
    <w:rsid w:val="00AA544B"/>
    <w:rsid w:val="00AA5520"/>
    <w:rsid w:val="00AA5905"/>
    <w:rsid w:val="00AA7496"/>
    <w:rsid w:val="00AB1E64"/>
    <w:rsid w:val="00AB3646"/>
    <w:rsid w:val="00AB5667"/>
    <w:rsid w:val="00AB695D"/>
    <w:rsid w:val="00AB7499"/>
    <w:rsid w:val="00AC1182"/>
    <w:rsid w:val="00AC2EC3"/>
    <w:rsid w:val="00AC4564"/>
    <w:rsid w:val="00AC6989"/>
    <w:rsid w:val="00AD1AB1"/>
    <w:rsid w:val="00AD6027"/>
    <w:rsid w:val="00AE22DB"/>
    <w:rsid w:val="00AE5980"/>
    <w:rsid w:val="00AF1666"/>
    <w:rsid w:val="00AF2FCF"/>
    <w:rsid w:val="00B147FA"/>
    <w:rsid w:val="00B276DC"/>
    <w:rsid w:val="00B27B89"/>
    <w:rsid w:val="00B30F7D"/>
    <w:rsid w:val="00B32542"/>
    <w:rsid w:val="00B37CC3"/>
    <w:rsid w:val="00B41C63"/>
    <w:rsid w:val="00B43775"/>
    <w:rsid w:val="00B506C1"/>
    <w:rsid w:val="00B5614A"/>
    <w:rsid w:val="00B575AA"/>
    <w:rsid w:val="00B57E68"/>
    <w:rsid w:val="00B643B3"/>
    <w:rsid w:val="00B660ED"/>
    <w:rsid w:val="00B679D9"/>
    <w:rsid w:val="00B72868"/>
    <w:rsid w:val="00B7290E"/>
    <w:rsid w:val="00B74481"/>
    <w:rsid w:val="00B77A99"/>
    <w:rsid w:val="00B8480D"/>
    <w:rsid w:val="00B84F97"/>
    <w:rsid w:val="00B9550B"/>
    <w:rsid w:val="00B9599D"/>
    <w:rsid w:val="00BA2B0E"/>
    <w:rsid w:val="00BA4009"/>
    <w:rsid w:val="00BA61FA"/>
    <w:rsid w:val="00BB3093"/>
    <w:rsid w:val="00BC1A01"/>
    <w:rsid w:val="00BC1DC8"/>
    <w:rsid w:val="00BD13B4"/>
    <w:rsid w:val="00BE07EE"/>
    <w:rsid w:val="00BE3CB2"/>
    <w:rsid w:val="00BE3E2C"/>
    <w:rsid w:val="00BE7011"/>
    <w:rsid w:val="00BE77C8"/>
    <w:rsid w:val="00C22D45"/>
    <w:rsid w:val="00C24C14"/>
    <w:rsid w:val="00C300EB"/>
    <w:rsid w:val="00C30A6C"/>
    <w:rsid w:val="00C37D94"/>
    <w:rsid w:val="00C40AC3"/>
    <w:rsid w:val="00C41A6D"/>
    <w:rsid w:val="00C41AB1"/>
    <w:rsid w:val="00C41DA5"/>
    <w:rsid w:val="00C436F4"/>
    <w:rsid w:val="00C516BC"/>
    <w:rsid w:val="00C553C9"/>
    <w:rsid w:val="00C57CD3"/>
    <w:rsid w:val="00C605FA"/>
    <w:rsid w:val="00C73D74"/>
    <w:rsid w:val="00C74603"/>
    <w:rsid w:val="00C82421"/>
    <w:rsid w:val="00C87F7E"/>
    <w:rsid w:val="00C9035C"/>
    <w:rsid w:val="00C92494"/>
    <w:rsid w:val="00C92E11"/>
    <w:rsid w:val="00CA020B"/>
    <w:rsid w:val="00CA10AE"/>
    <w:rsid w:val="00CA4757"/>
    <w:rsid w:val="00CA4F64"/>
    <w:rsid w:val="00CB1EC9"/>
    <w:rsid w:val="00CB7BE5"/>
    <w:rsid w:val="00CD22E6"/>
    <w:rsid w:val="00CD257A"/>
    <w:rsid w:val="00CD64B1"/>
    <w:rsid w:val="00CD7107"/>
    <w:rsid w:val="00CE355D"/>
    <w:rsid w:val="00CF7FAB"/>
    <w:rsid w:val="00D03473"/>
    <w:rsid w:val="00D03E73"/>
    <w:rsid w:val="00D04F4F"/>
    <w:rsid w:val="00D05773"/>
    <w:rsid w:val="00D160F0"/>
    <w:rsid w:val="00D16D6E"/>
    <w:rsid w:val="00D17BAB"/>
    <w:rsid w:val="00D200DF"/>
    <w:rsid w:val="00D20DE4"/>
    <w:rsid w:val="00D21657"/>
    <w:rsid w:val="00D2412B"/>
    <w:rsid w:val="00D345A0"/>
    <w:rsid w:val="00D36C3F"/>
    <w:rsid w:val="00D378EB"/>
    <w:rsid w:val="00D4425C"/>
    <w:rsid w:val="00D44C74"/>
    <w:rsid w:val="00D46C08"/>
    <w:rsid w:val="00D5123A"/>
    <w:rsid w:val="00D628A4"/>
    <w:rsid w:val="00D632FB"/>
    <w:rsid w:val="00D6365B"/>
    <w:rsid w:val="00D653E2"/>
    <w:rsid w:val="00D74DE1"/>
    <w:rsid w:val="00D754D2"/>
    <w:rsid w:val="00D96A55"/>
    <w:rsid w:val="00DA15D7"/>
    <w:rsid w:val="00DA2E8C"/>
    <w:rsid w:val="00DA721E"/>
    <w:rsid w:val="00DB3AC4"/>
    <w:rsid w:val="00DB3F85"/>
    <w:rsid w:val="00DB7E5A"/>
    <w:rsid w:val="00DC13BC"/>
    <w:rsid w:val="00DC27FA"/>
    <w:rsid w:val="00DC42FA"/>
    <w:rsid w:val="00DD1DD6"/>
    <w:rsid w:val="00DD34AC"/>
    <w:rsid w:val="00DD613C"/>
    <w:rsid w:val="00DD62C5"/>
    <w:rsid w:val="00DE184B"/>
    <w:rsid w:val="00DE661C"/>
    <w:rsid w:val="00DE6C00"/>
    <w:rsid w:val="00DF523A"/>
    <w:rsid w:val="00E01A36"/>
    <w:rsid w:val="00E050E5"/>
    <w:rsid w:val="00E051DA"/>
    <w:rsid w:val="00E10C8F"/>
    <w:rsid w:val="00E10FF2"/>
    <w:rsid w:val="00E139A9"/>
    <w:rsid w:val="00E1601F"/>
    <w:rsid w:val="00E2268B"/>
    <w:rsid w:val="00E333BE"/>
    <w:rsid w:val="00E33CA7"/>
    <w:rsid w:val="00E402E0"/>
    <w:rsid w:val="00E45E21"/>
    <w:rsid w:val="00E50C70"/>
    <w:rsid w:val="00E51836"/>
    <w:rsid w:val="00E53B3D"/>
    <w:rsid w:val="00E5463B"/>
    <w:rsid w:val="00E54829"/>
    <w:rsid w:val="00E55F39"/>
    <w:rsid w:val="00E61FFB"/>
    <w:rsid w:val="00E664EA"/>
    <w:rsid w:val="00E66541"/>
    <w:rsid w:val="00E6710C"/>
    <w:rsid w:val="00E704AA"/>
    <w:rsid w:val="00E81961"/>
    <w:rsid w:val="00E82012"/>
    <w:rsid w:val="00E82A78"/>
    <w:rsid w:val="00E82EE9"/>
    <w:rsid w:val="00E8781C"/>
    <w:rsid w:val="00E941E0"/>
    <w:rsid w:val="00E96743"/>
    <w:rsid w:val="00E975BB"/>
    <w:rsid w:val="00E97A44"/>
    <w:rsid w:val="00EA2128"/>
    <w:rsid w:val="00EA3D57"/>
    <w:rsid w:val="00EB4042"/>
    <w:rsid w:val="00EB5069"/>
    <w:rsid w:val="00EB7335"/>
    <w:rsid w:val="00EC176B"/>
    <w:rsid w:val="00EC6729"/>
    <w:rsid w:val="00ED0873"/>
    <w:rsid w:val="00ED4C8E"/>
    <w:rsid w:val="00EE18FC"/>
    <w:rsid w:val="00EE67C3"/>
    <w:rsid w:val="00EF6A8E"/>
    <w:rsid w:val="00F021AE"/>
    <w:rsid w:val="00F13B2D"/>
    <w:rsid w:val="00F15E63"/>
    <w:rsid w:val="00F16684"/>
    <w:rsid w:val="00F23543"/>
    <w:rsid w:val="00F3312E"/>
    <w:rsid w:val="00F3476A"/>
    <w:rsid w:val="00F349BF"/>
    <w:rsid w:val="00F426B8"/>
    <w:rsid w:val="00F42AC3"/>
    <w:rsid w:val="00F46B69"/>
    <w:rsid w:val="00F540E1"/>
    <w:rsid w:val="00F5727B"/>
    <w:rsid w:val="00F602F6"/>
    <w:rsid w:val="00F628C4"/>
    <w:rsid w:val="00F630B8"/>
    <w:rsid w:val="00F65B8B"/>
    <w:rsid w:val="00F70356"/>
    <w:rsid w:val="00F744EB"/>
    <w:rsid w:val="00F75B2B"/>
    <w:rsid w:val="00F875F6"/>
    <w:rsid w:val="00F95398"/>
    <w:rsid w:val="00F96127"/>
    <w:rsid w:val="00F974CE"/>
    <w:rsid w:val="00FA4F54"/>
    <w:rsid w:val="00FA57C4"/>
    <w:rsid w:val="00FB4844"/>
    <w:rsid w:val="00FC0A83"/>
    <w:rsid w:val="00FC2092"/>
    <w:rsid w:val="00FC4693"/>
    <w:rsid w:val="00FD28BF"/>
    <w:rsid w:val="00FD3A7E"/>
    <w:rsid w:val="00FD5CFC"/>
    <w:rsid w:val="00FD6523"/>
    <w:rsid w:val="00FD702F"/>
    <w:rsid w:val="00FE0F44"/>
    <w:rsid w:val="00FE190E"/>
    <w:rsid w:val="00FE5B13"/>
    <w:rsid w:val="00FE6256"/>
    <w:rsid w:val="00FF0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1073D2-DC27-4535-B312-B3A8BDED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5FDA"/>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01631837">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BC314-B35B-40A1-AB80-44562E1F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BAG SELBSTHILFE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Siiri Ann Doka</dc:creator>
  <cp:lastModifiedBy>Franzisca Hetzer</cp:lastModifiedBy>
  <cp:revision>2</cp:revision>
  <cp:lastPrinted>2020-05-18T12:38:00Z</cp:lastPrinted>
  <dcterms:created xsi:type="dcterms:W3CDTF">2020-06-02T13:04:00Z</dcterms:created>
  <dcterms:modified xsi:type="dcterms:W3CDTF">2020-06-02T13:04:00Z</dcterms:modified>
</cp:coreProperties>
</file>