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bookmarkStart w:id="0" w:name="_GoBack"/>
            <w:bookmarkEnd w:id="0"/>
          </w:p>
          <w:p w:rsidR="006B56FB" w:rsidRDefault="006B56FB" w:rsidP="006B56FB">
            <w:pPr>
              <w:jc w:val="both"/>
              <w:rPr>
                <w:rFonts w:ascii="Trebuchet MS" w:hAnsi="Trebuchet MS"/>
              </w:rPr>
            </w:pPr>
          </w:p>
          <w:p w:rsidR="006B56FB" w:rsidRDefault="00EF4428" w:rsidP="006B56FB">
            <w:pPr>
              <w:jc w:val="both"/>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6B56FB" w:rsidRDefault="006B56FB" w:rsidP="006B56FB">
            <w:pPr>
              <w:jc w:val="both"/>
              <w:rPr>
                <w:rFonts w:ascii="Trebuchet MS" w:hAnsi="Trebuchet MS"/>
              </w:rPr>
            </w:pP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FD702F" w:rsidP="006B56FB">
            <w:pPr>
              <w:jc w:val="both"/>
              <w:rPr>
                <w:rFonts w:ascii="Trebuchet MS" w:hAnsi="Trebuchet MS"/>
              </w:rPr>
            </w:pPr>
            <w:r>
              <w:rPr>
                <w:rFonts w:ascii="Trebuchet MS" w:hAnsi="Trebuchet MS"/>
              </w:rPr>
              <w:t>Tel. 0211/31006-0</w:t>
            </w:r>
          </w:p>
          <w:p w:rsidR="001E78CF" w:rsidRDefault="00FD702F" w:rsidP="006B56FB">
            <w:pPr>
              <w:jc w:val="both"/>
              <w:rPr>
                <w:rFonts w:ascii="Trebuchet MS" w:hAnsi="Trebuchet MS"/>
              </w:rPr>
            </w:pPr>
            <w:r>
              <w:rPr>
                <w:rFonts w:ascii="Trebuchet MS" w:hAnsi="Trebuchet MS"/>
              </w:rPr>
              <w:t>Fax. 0211/31006-48</w:t>
            </w:r>
          </w:p>
        </w:tc>
      </w:tr>
    </w:tbl>
    <w:p w:rsidR="006B56FB" w:rsidRDefault="00EF4428"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0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6B56FB" w:rsidRDefault="006B56FB" w:rsidP="006B56FB">
      <w:pPr>
        <w:jc w:val="both"/>
        <w:rPr>
          <w:rFonts w:ascii="Trebuchet MS" w:hAnsi="Trebuchet MS"/>
        </w:rPr>
      </w:pPr>
    </w:p>
    <w:p w:rsidR="005D5819" w:rsidRDefault="005D5819"/>
    <w:p w:rsidR="005D5819" w:rsidRDefault="005D5819"/>
    <w:p w:rsidR="00CA10AE" w:rsidRDefault="00CA10AE">
      <w:pPr>
        <w:jc w:val="center"/>
        <w:rPr>
          <w:rFonts w:ascii="Trebuchet MS" w:hAnsi="Trebuchet MS"/>
          <w:b/>
          <w:sz w:val="36"/>
          <w:szCs w:val="36"/>
        </w:rPr>
      </w:pPr>
    </w:p>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rsidR="00E82EE9" w:rsidRPr="00E333BE" w:rsidRDefault="00E82EE9">
      <w:pPr>
        <w:jc w:val="center"/>
        <w:rPr>
          <w:rFonts w:ascii="Trebuchet MS" w:hAnsi="Trebuchet MS"/>
          <w:b/>
          <w:sz w:val="36"/>
          <w:szCs w:val="36"/>
        </w:rPr>
      </w:pPr>
    </w:p>
    <w:p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p>
    <w:p w:rsidR="00D44C74" w:rsidRPr="00D44C74" w:rsidRDefault="00D44C74" w:rsidP="00D44C74">
      <w:pPr>
        <w:autoSpaceDE w:val="0"/>
        <w:autoSpaceDN w:val="0"/>
        <w:adjustRightInd w:val="0"/>
        <w:rPr>
          <w:rFonts w:ascii="Melior Com" w:hAnsi="Melior Com" w:cs="Melior Com"/>
          <w:color w:val="000000"/>
        </w:rPr>
      </w:pPr>
    </w:p>
    <w:p w:rsidR="00266BAD" w:rsidRDefault="00CA5619" w:rsidP="00BE3E2C">
      <w:pPr>
        <w:jc w:val="center"/>
        <w:rPr>
          <w:rFonts w:ascii="Trebuchet MS" w:hAnsi="Trebuchet MS"/>
          <w:b/>
          <w:sz w:val="36"/>
          <w:szCs w:val="36"/>
        </w:rPr>
      </w:pPr>
      <w:r w:rsidRPr="00CA5619">
        <w:rPr>
          <w:rFonts w:ascii="Trebuchet MS" w:hAnsi="Trebuchet MS"/>
          <w:b/>
          <w:sz w:val="36"/>
          <w:szCs w:val="36"/>
        </w:rPr>
        <w:t>Gesetz zur Verbesserung der Transparenz in der Alterssicherung und der Rehabilitation sowie zur Modernisierung der Sozialversicherungswahlen</w:t>
      </w:r>
      <w:r>
        <w:rPr>
          <w:rFonts w:ascii="Trebuchet MS" w:hAnsi="Trebuchet MS"/>
          <w:b/>
          <w:sz w:val="36"/>
          <w:szCs w:val="36"/>
        </w:rPr>
        <w:t xml:space="preserve"> </w:t>
      </w:r>
    </w:p>
    <w:p w:rsidR="002E2EA1" w:rsidRDefault="00CA5619" w:rsidP="00BE3E2C">
      <w:pPr>
        <w:jc w:val="center"/>
        <w:rPr>
          <w:rFonts w:ascii="Trebuchet MS" w:hAnsi="Trebuchet MS"/>
          <w:b/>
          <w:sz w:val="36"/>
          <w:szCs w:val="36"/>
        </w:rPr>
      </w:pPr>
      <w:r w:rsidRPr="00CA5619">
        <w:rPr>
          <w:rFonts w:ascii="Trebuchet MS" w:hAnsi="Trebuchet MS"/>
          <w:b/>
          <w:sz w:val="36"/>
          <w:szCs w:val="36"/>
        </w:rPr>
        <w:t>(Gesetz Digitale Rentenübersicht)</w:t>
      </w:r>
    </w:p>
    <w:p w:rsidR="00CA5619" w:rsidRDefault="006F38EB" w:rsidP="00266BAD">
      <w:pPr>
        <w:spacing w:line="276" w:lineRule="auto"/>
        <w:rPr>
          <w:rFonts w:ascii="Trebuchet MS" w:hAnsi="Trebuchet MS"/>
        </w:rPr>
      </w:pPr>
      <w:r>
        <w:rPr>
          <w:rFonts w:ascii="Trebuchet MS" w:hAnsi="Trebuchet MS"/>
        </w:rPr>
        <w:br w:type="page"/>
      </w:r>
      <w:r>
        <w:rPr>
          <w:rFonts w:ascii="Trebuchet MS" w:hAnsi="Trebuchet MS"/>
        </w:rPr>
        <w:lastRenderedPageBreak/>
        <w:t xml:space="preserve">Als Dachverband von 120 Bundesorganisationen der Selbsthilfe chronisch kranker und behinderter Menschen und von 13 Landesarbeitsgemeinschaften begrüßt die </w:t>
      </w:r>
      <w:r w:rsidRPr="006F38EB">
        <w:rPr>
          <w:rFonts w:ascii="Trebuchet MS" w:hAnsi="Trebuchet MS"/>
        </w:rPr>
        <w:t xml:space="preserve">BAG SELBSTHILFE </w:t>
      </w:r>
      <w:r>
        <w:rPr>
          <w:rFonts w:ascii="Trebuchet MS" w:hAnsi="Trebuchet MS"/>
        </w:rPr>
        <w:t>das Anliegen des Bundesministeriums für Arbeit und So</w:t>
      </w:r>
      <w:r w:rsidR="00CA5619">
        <w:rPr>
          <w:rFonts w:ascii="Trebuchet MS" w:hAnsi="Trebuchet MS"/>
        </w:rPr>
        <w:t>ziales, den Bürgerinnen und Bürgern ein ergänzendes Angebot zu unterbreiten, sich nutzerfreundlich einen Gesamtüberblick über die eigene Altersvorsorge zu verschaffen.</w:t>
      </w:r>
      <w:r w:rsidR="00266BAD">
        <w:rPr>
          <w:rFonts w:ascii="Trebuchet MS" w:hAnsi="Trebuchet MS"/>
        </w:rPr>
        <w:t xml:space="preserve"> Ebenfalls begrüßt wird auch das Anliegen des Ministeriums, die Beschaffung von Leistungen zur medizinischen Rehabilitation neu zu regeln.</w:t>
      </w:r>
    </w:p>
    <w:p w:rsidR="00266BAD" w:rsidRDefault="00266BAD" w:rsidP="00266BAD">
      <w:pPr>
        <w:spacing w:line="276" w:lineRule="auto"/>
        <w:rPr>
          <w:rFonts w:ascii="Trebuchet MS" w:hAnsi="Trebuchet MS"/>
        </w:rPr>
      </w:pPr>
    </w:p>
    <w:p w:rsidR="00266BAD" w:rsidRDefault="00266BAD" w:rsidP="00266BAD">
      <w:pPr>
        <w:spacing w:line="276" w:lineRule="auto"/>
        <w:rPr>
          <w:rFonts w:ascii="Trebuchet MS" w:hAnsi="Trebuchet MS"/>
        </w:rPr>
      </w:pPr>
      <w:r>
        <w:rPr>
          <w:rFonts w:ascii="Trebuchet MS" w:hAnsi="Trebuchet MS"/>
        </w:rPr>
        <w:t xml:space="preserve">Aus Sicht der </w:t>
      </w:r>
      <w:r w:rsidRPr="00266BAD">
        <w:rPr>
          <w:rFonts w:ascii="Trebuchet MS" w:hAnsi="Trebuchet MS"/>
        </w:rPr>
        <w:t xml:space="preserve">BAG SELBSTHILFE </w:t>
      </w:r>
      <w:r>
        <w:rPr>
          <w:rFonts w:ascii="Trebuchet MS" w:hAnsi="Trebuchet MS"/>
        </w:rPr>
        <w:t>muss nämlich die Leistungsbeschaffung zur medizinischen Rehabilitation künftig viel stärker darauf ausgerichtet sein, dass jeder Versicherte/jede Versicherte ihren Rechtsanspruch auf medizinische Rehabilitation auf der Basis eines Leistungsangebots einlösen kann, das den spezifischen Bedarfen auch entspricht. Leider kann diese Zielsetzung mit der im Referentenentwurf vorgesehenen Neuregelung des § 15 SGB VI nicht vollständig erreicht werden.</w:t>
      </w:r>
    </w:p>
    <w:p w:rsidR="00266BAD" w:rsidRDefault="00266BAD" w:rsidP="00266BAD">
      <w:pPr>
        <w:spacing w:line="276" w:lineRule="auto"/>
        <w:rPr>
          <w:rFonts w:ascii="Trebuchet MS" w:hAnsi="Trebuchet MS"/>
        </w:rPr>
      </w:pPr>
    </w:p>
    <w:p w:rsidR="00266BAD" w:rsidRDefault="00266BAD" w:rsidP="00266BAD">
      <w:pPr>
        <w:spacing w:line="276" w:lineRule="auto"/>
        <w:rPr>
          <w:rFonts w:ascii="Trebuchet MS" w:hAnsi="Trebuchet MS"/>
        </w:rPr>
      </w:pPr>
      <w:r>
        <w:rPr>
          <w:rFonts w:ascii="Trebuchet MS" w:hAnsi="Trebuchet MS"/>
        </w:rPr>
        <w:t xml:space="preserve">Schließlich begrüßt die </w:t>
      </w:r>
      <w:r w:rsidRPr="00266BAD">
        <w:rPr>
          <w:rFonts w:ascii="Trebuchet MS" w:hAnsi="Trebuchet MS"/>
        </w:rPr>
        <w:t xml:space="preserve">BAG SELBSTHILFE </w:t>
      </w:r>
      <w:r>
        <w:rPr>
          <w:rFonts w:ascii="Trebuchet MS" w:hAnsi="Trebuchet MS"/>
        </w:rPr>
        <w:t>das Anliegen des Ministeriums, das Verfahren der Sozialwahlen zu reformieren und die Sozialwahlen für die Versicherten attraktiver zu gestalten. Leider bleibt in dem vorliegenden Referentenentwurf bislang unberücksichtigt, dass die Attraktivität für die Versicherten in dem Maße zunehmen wird, in dem die Vertreterversammlungen und die Verwaltungsräte als Gremien wahrgenommen werden, in denen es auch tatsächlich um die Wahrnehmung von Versicherteninteressen geht. Insbesondere bei den Selbstverwaltungsgremien der Kranken- und Pflegeversicherung wird dies nur gelingen, wenn nach dem Muster de</w:t>
      </w:r>
      <w:r w:rsidR="00034F4B">
        <w:rPr>
          <w:rFonts w:ascii="Trebuchet MS" w:hAnsi="Trebuchet MS"/>
        </w:rPr>
        <w:t xml:space="preserve">s </w:t>
      </w:r>
      <w:r>
        <w:rPr>
          <w:rFonts w:ascii="Trebuchet MS" w:hAnsi="Trebuchet MS"/>
        </w:rPr>
        <w:t>§ 279 Absatz 5 SGB V den Vertreterinnen und Vertretern der Patienten, der Selbsthilfe und der von Pflege Betroffenen Mitwirkungsrechte zuerkannt werden.</w:t>
      </w:r>
    </w:p>
    <w:p w:rsidR="00266BAD" w:rsidRDefault="00266BAD" w:rsidP="00266BAD">
      <w:pPr>
        <w:spacing w:line="276" w:lineRule="auto"/>
        <w:rPr>
          <w:rFonts w:ascii="Trebuchet MS" w:hAnsi="Trebuchet MS"/>
        </w:rPr>
      </w:pPr>
    </w:p>
    <w:p w:rsidR="00266BAD" w:rsidRDefault="00266BAD" w:rsidP="00266BAD">
      <w:pPr>
        <w:spacing w:line="276" w:lineRule="auto"/>
        <w:rPr>
          <w:rFonts w:ascii="Trebuchet MS" w:hAnsi="Trebuchet MS"/>
        </w:rPr>
      </w:pPr>
      <w:r>
        <w:rPr>
          <w:rFonts w:ascii="Trebuchet MS" w:hAnsi="Trebuchet MS"/>
        </w:rPr>
        <w:t>Im Einzelnen ist zu dem Referentenentwurf Folgendes auszuführen:</w:t>
      </w:r>
    </w:p>
    <w:p w:rsidR="00266BAD" w:rsidRDefault="00266BAD" w:rsidP="00266BAD">
      <w:pPr>
        <w:spacing w:line="276" w:lineRule="auto"/>
        <w:rPr>
          <w:rFonts w:ascii="Trebuchet MS" w:hAnsi="Trebuchet MS"/>
        </w:rPr>
      </w:pPr>
    </w:p>
    <w:p w:rsidR="00266BAD" w:rsidRPr="003B2E50" w:rsidRDefault="00266BAD" w:rsidP="00034F4B">
      <w:pPr>
        <w:tabs>
          <w:tab w:val="left" w:pos="567"/>
        </w:tabs>
        <w:spacing w:line="276" w:lineRule="auto"/>
        <w:ind w:left="567" w:hanging="567"/>
        <w:rPr>
          <w:rFonts w:ascii="Trebuchet MS" w:hAnsi="Trebuchet MS"/>
          <w:b/>
        </w:rPr>
      </w:pPr>
      <w:r w:rsidRPr="003B2E50">
        <w:rPr>
          <w:rFonts w:ascii="Trebuchet MS" w:hAnsi="Trebuchet MS"/>
          <w:b/>
        </w:rPr>
        <w:t>I.</w:t>
      </w:r>
      <w:r w:rsidRPr="003B2E50">
        <w:rPr>
          <w:rFonts w:ascii="Trebuchet MS" w:hAnsi="Trebuchet MS"/>
          <w:b/>
        </w:rPr>
        <w:tab/>
        <w:t>Einführung der digitalen Rentenübersicht</w:t>
      </w:r>
    </w:p>
    <w:p w:rsidR="00266BAD" w:rsidRDefault="00266BAD" w:rsidP="00266BAD">
      <w:pPr>
        <w:tabs>
          <w:tab w:val="left" w:pos="851"/>
        </w:tabs>
        <w:spacing w:line="276" w:lineRule="auto"/>
        <w:rPr>
          <w:rFonts w:ascii="Trebuchet MS" w:hAnsi="Trebuchet MS"/>
        </w:rPr>
      </w:pPr>
    </w:p>
    <w:p w:rsidR="00266BAD" w:rsidRDefault="00266BAD" w:rsidP="00034F4B">
      <w:pPr>
        <w:tabs>
          <w:tab w:val="left" w:pos="851"/>
        </w:tabs>
        <w:spacing w:line="276" w:lineRule="auto"/>
        <w:ind w:left="567"/>
        <w:rPr>
          <w:rFonts w:ascii="Trebuchet MS" w:hAnsi="Trebuchet MS"/>
        </w:rPr>
      </w:pPr>
      <w:r>
        <w:rPr>
          <w:rFonts w:ascii="Trebuchet MS" w:hAnsi="Trebuchet MS"/>
        </w:rPr>
        <w:t xml:space="preserve">Die Einführung der digitalen Rentenübersicht wird von der </w:t>
      </w:r>
      <w:r w:rsidRPr="00266BAD">
        <w:rPr>
          <w:rFonts w:ascii="Trebuchet MS" w:hAnsi="Trebuchet MS"/>
        </w:rPr>
        <w:t xml:space="preserve">BAG SELBSTHILFE </w:t>
      </w:r>
      <w:r>
        <w:rPr>
          <w:rFonts w:ascii="Trebuchet MS" w:hAnsi="Trebuchet MS"/>
        </w:rPr>
        <w:t>begrüßt.</w:t>
      </w:r>
    </w:p>
    <w:p w:rsidR="00266BAD" w:rsidRDefault="00266BAD" w:rsidP="00266BAD">
      <w:pPr>
        <w:tabs>
          <w:tab w:val="left" w:pos="851"/>
        </w:tabs>
        <w:spacing w:line="276" w:lineRule="auto"/>
        <w:rPr>
          <w:rFonts w:ascii="Trebuchet MS" w:hAnsi="Trebuchet MS"/>
        </w:rPr>
      </w:pPr>
    </w:p>
    <w:p w:rsidR="00034F4B" w:rsidRDefault="00034F4B" w:rsidP="00266BAD">
      <w:pPr>
        <w:tabs>
          <w:tab w:val="left" w:pos="851"/>
        </w:tabs>
        <w:spacing w:line="276" w:lineRule="auto"/>
        <w:rPr>
          <w:rFonts w:ascii="Trebuchet MS" w:hAnsi="Trebuchet MS"/>
        </w:rPr>
      </w:pPr>
    </w:p>
    <w:p w:rsidR="00266BAD" w:rsidRPr="003B2E50" w:rsidRDefault="00266BAD" w:rsidP="00034F4B">
      <w:pPr>
        <w:tabs>
          <w:tab w:val="left" w:pos="567"/>
        </w:tabs>
        <w:spacing w:line="276" w:lineRule="auto"/>
        <w:rPr>
          <w:rFonts w:ascii="Trebuchet MS" w:hAnsi="Trebuchet MS"/>
          <w:b/>
        </w:rPr>
      </w:pPr>
      <w:r w:rsidRPr="003B2E50">
        <w:rPr>
          <w:rFonts w:ascii="Trebuchet MS" w:hAnsi="Trebuchet MS"/>
          <w:b/>
        </w:rPr>
        <w:t>II.</w:t>
      </w:r>
      <w:r w:rsidRPr="003B2E50">
        <w:rPr>
          <w:rFonts w:ascii="Trebuchet MS" w:hAnsi="Trebuchet MS"/>
          <w:b/>
        </w:rPr>
        <w:tab/>
        <w:t>Beschaffung von Leistungen zur medizinischen Rehabilitation</w:t>
      </w:r>
    </w:p>
    <w:p w:rsidR="00266BAD" w:rsidRDefault="00266BAD" w:rsidP="00266BAD">
      <w:pPr>
        <w:tabs>
          <w:tab w:val="left" w:pos="851"/>
        </w:tabs>
        <w:spacing w:line="276" w:lineRule="auto"/>
        <w:rPr>
          <w:rFonts w:ascii="Trebuchet MS" w:hAnsi="Trebuchet MS"/>
        </w:rPr>
      </w:pPr>
    </w:p>
    <w:p w:rsidR="00266BAD" w:rsidRDefault="00034F4B" w:rsidP="00034F4B">
      <w:pPr>
        <w:tabs>
          <w:tab w:val="left" w:pos="567"/>
        </w:tabs>
        <w:spacing w:line="276" w:lineRule="auto"/>
        <w:ind w:left="567" w:hanging="567"/>
        <w:rPr>
          <w:rFonts w:ascii="Trebuchet MS" w:hAnsi="Trebuchet MS"/>
        </w:rPr>
      </w:pPr>
      <w:r>
        <w:rPr>
          <w:rFonts w:ascii="Trebuchet MS" w:hAnsi="Trebuchet MS"/>
        </w:rPr>
        <w:tab/>
      </w:r>
      <w:r w:rsidR="00266BAD">
        <w:rPr>
          <w:rFonts w:ascii="Trebuchet MS" w:hAnsi="Trebuchet MS"/>
        </w:rPr>
        <w:t xml:space="preserve">Die </w:t>
      </w:r>
      <w:r w:rsidR="00266BAD" w:rsidRPr="00266BAD">
        <w:rPr>
          <w:rFonts w:ascii="Trebuchet MS" w:hAnsi="Trebuchet MS"/>
        </w:rPr>
        <w:t xml:space="preserve">BAG SELBSTHILFE </w:t>
      </w:r>
      <w:r w:rsidR="00266BAD">
        <w:rPr>
          <w:rFonts w:ascii="Trebuchet MS" w:hAnsi="Trebuchet MS"/>
        </w:rPr>
        <w:t>begrüßt das Anliegen des Ministeriums, durch die Neuregelung des § 15 SGB VI die Transparenz, die Nachvollziehbarkeit, die Diskriminierungsfreiheit und die Gleichbehandlung bei der Beschaffung medizinischer Rehabilitationsleistungen zu verbessern und das Wunsch- und Wahlrecht der Versicherten zu stärken.</w:t>
      </w:r>
    </w:p>
    <w:p w:rsidR="00C553C9" w:rsidRDefault="00C553C9" w:rsidP="00034F4B">
      <w:pPr>
        <w:rPr>
          <w:rFonts w:ascii="Trebuchet MS" w:hAnsi="Trebuchet MS"/>
        </w:rPr>
      </w:pPr>
    </w:p>
    <w:p w:rsidR="00796644" w:rsidRDefault="006F38EB" w:rsidP="00034F4B">
      <w:pPr>
        <w:spacing w:line="276" w:lineRule="auto"/>
        <w:ind w:left="567"/>
        <w:rPr>
          <w:rFonts w:ascii="Trebuchet MS" w:hAnsi="Trebuchet MS"/>
        </w:rPr>
      </w:pPr>
      <w:r>
        <w:rPr>
          <w:rFonts w:ascii="Trebuchet MS" w:hAnsi="Trebuchet MS"/>
        </w:rPr>
        <w:lastRenderedPageBreak/>
        <w:t xml:space="preserve">Aus Sicht der </w:t>
      </w:r>
      <w:r w:rsidRPr="006F38EB">
        <w:rPr>
          <w:rFonts w:ascii="Trebuchet MS" w:hAnsi="Trebuchet MS"/>
        </w:rPr>
        <w:t xml:space="preserve">BAG SELBSTHILFE </w:t>
      </w:r>
      <w:r>
        <w:rPr>
          <w:rFonts w:ascii="Trebuchet MS" w:hAnsi="Trebuchet MS"/>
        </w:rPr>
        <w:t>muss die Leistungsbeschaffung zur medinischen Rehabilitation darauf ausgerichtet sein, dass jeder Versicherte/jede Versicherte ihren Rechtsanspruch auf medizinische Rehabilitation voll einlösen kann.</w:t>
      </w:r>
    </w:p>
    <w:p w:rsidR="00796644" w:rsidRDefault="00796644" w:rsidP="00034F4B">
      <w:pPr>
        <w:spacing w:line="276" w:lineRule="auto"/>
        <w:ind w:left="567"/>
        <w:rPr>
          <w:rFonts w:ascii="Trebuchet MS" w:hAnsi="Trebuchet MS"/>
        </w:rPr>
      </w:pPr>
    </w:p>
    <w:p w:rsidR="006F38EB" w:rsidRDefault="006F38EB" w:rsidP="00034F4B">
      <w:pPr>
        <w:spacing w:line="276" w:lineRule="auto"/>
        <w:ind w:left="567"/>
        <w:rPr>
          <w:rFonts w:ascii="Trebuchet MS" w:hAnsi="Trebuchet MS"/>
        </w:rPr>
      </w:pPr>
      <w:r>
        <w:rPr>
          <w:rFonts w:ascii="Trebuchet MS" w:hAnsi="Trebuchet MS"/>
        </w:rPr>
        <w:t xml:space="preserve">Dies beinhaltet die Anforderung, dass auch Menschen mit einem ganz spezifischen Rehabilitationsbedarf ein Leistungsangebot vorfinden können, das zum einen eine Rehabilitation mit ausreichender Qualität gewährlistet und andererseits die Ausübung des Wunsch- und Wahlrechts des Versicherten auch tatsächlich eröffnet. </w:t>
      </w:r>
    </w:p>
    <w:p w:rsidR="006F38EB" w:rsidRDefault="006F38EB" w:rsidP="00034F4B">
      <w:pPr>
        <w:spacing w:line="276" w:lineRule="auto"/>
        <w:ind w:left="567"/>
        <w:rPr>
          <w:rFonts w:ascii="Trebuchet MS" w:hAnsi="Trebuchet MS"/>
        </w:rPr>
      </w:pPr>
    </w:p>
    <w:p w:rsidR="006F38EB" w:rsidRDefault="006F38EB" w:rsidP="00034F4B">
      <w:pPr>
        <w:spacing w:line="276" w:lineRule="auto"/>
        <w:ind w:left="567"/>
        <w:rPr>
          <w:rFonts w:ascii="Trebuchet MS" w:hAnsi="Trebuchet MS"/>
        </w:rPr>
      </w:pPr>
      <w:r>
        <w:rPr>
          <w:rFonts w:ascii="Trebuchet MS" w:hAnsi="Trebuchet MS"/>
        </w:rPr>
        <w:t xml:space="preserve">Leider kann diese Zielsetzung mit der im Referentenentwurf vorgesehenen Neuregelung des § 15 SGB VI nicht gewährleistet werden: </w:t>
      </w:r>
    </w:p>
    <w:p w:rsidR="006F38EB" w:rsidRDefault="006F38EB" w:rsidP="00034F4B">
      <w:pPr>
        <w:spacing w:line="276" w:lineRule="auto"/>
        <w:ind w:left="567"/>
        <w:rPr>
          <w:rFonts w:ascii="Trebuchet MS" w:hAnsi="Trebuchet MS"/>
        </w:rPr>
      </w:pPr>
    </w:p>
    <w:p w:rsidR="00036191" w:rsidRDefault="006F38EB" w:rsidP="00034F4B">
      <w:pPr>
        <w:numPr>
          <w:ilvl w:val="0"/>
          <w:numId w:val="29"/>
        </w:numPr>
        <w:spacing w:line="276" w:lineRule="auto"/>
        <w:ind w:left="1134" w:hanging="567"/>
        <w:rPr>
          <w:rFonts w:ascii="Trebuchet MS" w:hAnsi="Trebuchet MS"/>
        </w:rPr>
      </w:pPr>
      <w:r>
        <w:rPr>
          <w:rFonts w:ascii="Trebuchet MS" w:hAnsi="Trebuchet MS"/>
        </w:rPr>
        <w:t xml:space="preserve">Grundlage für die Leistungsbeschaffung zur medizinischen Rehabilitation muss die </w:t>
      </w:r>
      <w:r w:rsidRPr="00796644">
        <w:rPr>
          <w:rFonts w:ascii="Trebuchet MS" w:hAnsi="Trebuchet MS"/>
          <w:b/>
        </w:rPr>
        <w:t xml:space="preserve">Festlegung von spezifischen Anforderungsprofilen </w:t>
      </w:r>
      <w:r>
        <w:rPr>
          <w:rFonts w:ascii="Trebuchet MS" w:hAnsi="Trebuchet MS"/>
        </w:rPr>
        <w:t xml:space="preserve">sein, um nicht nur für Standardfälle der Rehabilitation (z.B. </w:t>
      </w:r>
      <w:r w:rsidR="00036191">
        <w:rPr>
          <w:rFonts w:ascii="Trebuchet MS" w:hAnsi="Trebuchet MS"/>
        </w:rPr>
        <w:t xml:space="preserve">Rehabilitation nach Knieoperation), sondern auch für Fälle bei spezifischem Bedarf (z.B. rheumatologische Rehabilitation für Mukoviszidosepatienten) </w:t>
      </w:r>
      <w:r w:rsidR="00727685">
        <w:rPr>
          <w:rFonts w:ascii="Trebuchet MS" w:hAnsi="Trebuchet MS"/>
        </w:rPr>
        <w:t>ein Angebot</w:t>
      </w:r>
      <w:r w:rsidR="00036191">
        <w:rPr>
          <w:rFonts w:ascii="Trebuchet MS" w:hAnsi="Trebuchet MS"/>
        </w:rPr>
        <w:t xml:space="preserve"> bereithalten können. </w:t>
      </w:r>
      <w:r w:rsidR="00034F4B">
        <w:rPr>
          <w:rFonts w:ascii="Trebuchet MS" w:hAnsi="Trebuchet MS"/>
        </w:rPr>
        <w:t>Auch die Situation für Menschen mit Assistenzbedarf kann nur über spezifische Anforderungsprofile in den Griff bekommen werden.</w:t>
      </w:r>
    </w:p>
    <w:p w:rsidR="00034F4B" w:rsidRDefault="00034F4B" w:rsidP="00034F4B">
      <w:pPr>
        <w:spacing w:line="276" w:lineRule="auto"/>
        <w:ind w:left="1134"/>
        <w:rPr>
          <w:rFonts w:ascii="Trebuchet MS" w:hAnsi="Trebuchet MS"/>
        </w:rPr>
      </w:pPr>
    </w:p>
    <w:p w:rsidR="00796644" w:rsidRDefault="00036191" w:rsidP="00034F4B">
      <w:pPr>
        <w:spacing w:line="276" w:lineRule="auto"/>
        <w:ind w:left="1134"/>
        <w:rPr>
          <w:rFonts w:ascii="Trebuchet MS" w:hAnsi="Trebuchet MS"/>
        </w:rPr>
      </w:pPr>
      <w:r>
        <w:rPr>
          <w:rFonts w:ascii="Trebuchet MS" w:hAnsi="Trebuchet MS"/>
        </w:rPr>
        <w:t xml:space="preserve">Eine transparente und spezifischen Bedarfsplanung, die auch regionale Besonderheiten berücksichtigt, ist hierfür unabdingbar. </w:t>
      </w:r>
      <w:r>
        <w:rPr>
          <w:rFonts w:ascii="Trebuchet MS" w:hAnsi="Trebuchet MS"/>
        </w:rPr>
        <w:br/>
      </w:r>
      <w:r>
        <w:rPr>
          <w:rFonts w:ascii="Trebuchet MS" w:hAnsi="Trebuchet MS"/>
        </w:rPr>
        <w:br/>
        <w:t xml:space="preserve">Eine entscheidende Grundlage für die Leistungsbeschaffenheit ist im Referentenentwurf nicht vorgesehen. </w:t>
      </w:r>
      <w:r>
        <w:rPr>
          <w:rFonts w:ascii="Trebuchet MS" w:hAnsi="Trebuchet MS"/>
        </w:rPr>
        <w:br/>
      </w:r>
    </w:p>
    <w:p w:rsidR="006F38EB" w:rsidRDefault="00036191" w:rsidP="00FF1C32">
      <w:pPr>
        <w:spacing w:line="276" w:lineRule="auto"/>
        <w:ind w:left="1134"/>
        <w:rPr>
          <w:rFonts w:ascii="Trebuchet MS" w:hAnsi="Trebuchet MS"/>
        </w:rPr>
      </w:pPr>
      <w:r>
        <w:rPr>
          <w:rFonts w:ascii="Trebuchet MS" w:hAnsi="Trebuchet MS"/>
        </w:rPr>
        <w:t>So bleibt unklar, welcher Bezugspunkt in § 15 Abs. 3 Nr. 1 SGB VI die „fachliche Eignung“ überhaupt haben soll. Sollen denn Einrichtungen zugelassen werden, wenn sie sich nur zu irgendeinem Rehabilitationszweck eignen?</w:t>
      </w:r>
    </w:p>
    <w:p w:rsidR="00036191" w:rsidRDefault="00036191" w:rsidP="00FF1C32">
      <w:pPr>
        <w:spacing w:line="276" w:lineRule="auto"/>
        <w:ind w:left="1134"/>
        <w:rPr>
          <w:rFonts w:ascii="Trebuchet MS" w:hAnsi="Trebuchet MS"/>
        </w:rPr>
      </w:pPr>
    </w:p>
    <w:p w:rsidR="00036191" w:rsidRDefault="00036191" w:rsidP="00FF1C32">
      <w:pPr>
        <w:spacing w:line="276" w:lineRule="auto"/>
        <w:ind w:left="1134"/>
        <w:rPr>
          <w:rFonts w:ascii="Trebuchet MS" w:hAnsi="Trebuchet MS"/>
        </w:rPr>
      </w:pPr>
      <w:r>
        <w:rPr>
          <w:rFonts w:ascii="Trebuchet MS" w:hAnsi="Trebuchet MS"/>
        </w:rPr>
        <w:t xml:space="preserve">Zwar findet sich in § 15 Abs. 9 Nr. 1 SGB VI dann die Festlegung, dass der Träger der Rentenversicherung „Entscheidungen“ zur inhaltlichen Ausgestaltung der Anforderung nach Abs. 3 treffen dürfe. </w:t>
      </w:r>
      <w:r>
        <w:rPr>
          <w:rFonts w:ascii="Trebuchet MS" w:hAnsi="Trebuchet MS"/>
        </w:rPr>
        <w:br/>
        <w:t xml:space="preserve">Auch hier ist ein planerisches Element oder eine Abstellung auf spezifischen Bedarfslagen für einzelne Patientengruppen im Entwurf nicht erkennbar. </w:t>
      </w:r>
      <w:r>
        <w:rPr>
          <w:rFonts w:ascii="Trebuchet MS" w:hAnsi="Trebuchet MS"/>
        </w:rPr>
        <w:br/>
      </w:r>
      <w:r>
        <w:rPr>
          <w:rFonts w:ascii="Trebuchet MS" w:hAnsi="Trebuchet MS"/>
        </w:rPr>
        <w:br/>
        <w:t>Aus Sich</w:t>
      </w:r>
      <w:r w:rsidR="008402F7">
        <w:rPr>
          <w:rFonts w:ascii="Trebuchet MS" w:hAnsi="Trebuchet MS"/>
        </w:rPr>
        <w:t xml:space="preserve">t der </w:t>
      </w:r>
      <w:r w:rsidR="008402F7" w:rsidRPr="008402F7">
        <w:rPr>
          <w:rFonts w:ascii="Trebuchet MS" w:hAnsi="Trebuchet MS"/>
        </w:rPr>
        <w:t xml:space="preserve">BAG SELBSTHILFE </w:t>
      </w:r>
      <w:r w:rsidR="008402F7">
        <w:rPr>
          <w:rFonts w:ascii="Trebuchet MS" w:hAnsi="Trebuchet MS"/>
        </w:rPr>
        <w:t xml:space="preserve">bestehen Zweifel, ob eine solche Beschaffungsregelung mit dem europäischen Vergaberecht vereinbar ist. </w:t>
      </w:r>
      <w:r w:rsidR="008402F7">
        <w:rPr>
          <w:rFonts w:ascii="Trebuchet MS" w:hAnsi="Trebuchet MS"/>
        </w:rPr>
        <w:br/>
      </w:r>
      <w:r w:rsidR="008402F7">
        <w:rPr>
          <w:rFonts w:ascii="Trebuchet MS" w:hAnsi="Trebuchet MS"/>
        </w:rPr>
        <w:br/>
      </w:r>
      <w:r w:rsidR="00B618C9">
        <w:rPr>
          <w:rFonts w:ascii="Trebuchet MS" w:hAnsi="Trebuchet MS"/>
        </w:rPr>
        <w:lastRenderedPageBreak/>
        <w:t xml:space="preserve">Wesentlich zielführender wäre es, im Wege der </w:t>
      </w:r>
      <w:r w:rsidR="00B618C9" w:rsidRPr="00796644">
        <w:rPr>
          <w:rFonts w:ascii="Trebuchet MS" w:hAnsi="Trebuchet MS"/>
          <w:b/>
        </w:rPr>
        <w:t>kleinräumigen</w:t>
      </w:r>
      <w:r w:rsidR="00796644" w:rsidRPr="00796644">
        <w:rPr>
          <w:rFonts w:ascii="Trebuchet MS" w:hAnsi="Trebuchet MS"/>
          <w:b/>
        </w:rPr>
        <w:t xml:space="preserve"> regionalen</w:t>
      </w:r>
      <w:r w:rsidR="00B618C9" w:rsidRPr="00796644">
        <w:rPr>
          <w:rFonts w:ascii="Trebuchet MS" w:hAnsi="Trebuchet MS"/>
          <w:b/>
        </w:rPr>
        <w:t xml:space="preserve"> Bedarfsplanung </w:t>
      </w:r>
      <w:r w:rsidR="00B618C9">
        <w:rPr>
          <w:rFonts w:ascii="Trebuchet MS" w:hAnsi="Trebuchet MS"/>
        </w:rPr>
        <w:t xml:space="preserve">ganz spezifischen Anforderungen an das Leistungsspektrum, die Ausstattung und die Qualifikation der Behandlerinnen und Behandler zu stellen, um auf dieser Basis die Leistungsbeschaffung zu organisieren. </w:t>
      </w:r>
      <w:r w:rsidR="00B618C9">
        <w:rPr>
          <w:rFonts w:ascii="Trebuchet MS" w:hAnsi="Trebuchet MS"/>
        </w:rPr>
        <w:br/>
        <w:t xml:space="preserve">Ein solches Vorgehen würde pauschale Ausschreibungen ausschließen und Raum für regionale spezifische Maßnahmen der Leistungsbeschaffung eröffnen. </w:t>
      </w:r>
      <w:r w:rsidR="00B618C9">
        <w:rPr>
          <w:rFonts w:ascii="Trebuchet MS" w:hAnsi="Trebuchet MS"/>
        </w:rPr>
        <w:br/>
      </w:r>
    </w:p>
    <w:p w:rsidR="00796644" w:rsidRPr="00796644" w:rsidRDefault="00B618C9" w:rsidP="00FF1C32">
      <w:pPr>
        <w:numPr>
          <w:ilvl w:val="0"/>
          <w:numId w:val="29"/>
        </w:numPr>
        <w:spacing w:line="276" w:lineRule="auto"/>
        <w:ind w:left="1134" w:hanging="567"/>
        <w:rPr>
          <w:rFonts w:ascii="Trebuchet MS" w:hAnsi="Trebuchet MS"/>
          <w:b/>
        </w:rPr>
      </w:pPr>
      <w:r w:rsidRPr="00796644">
        <w:rPr>
          <w:rFonts w:ascii="Trebuchet MS" w:hAnsi="Trebuchet MS"/>
          <w:b/>
        </w:rPr>
        <w:t>Ohnehin ist es aus Sicht der BAG SELBSTHILFE</w:t>
      </w:r>
      <w:r w:rsidRPr="00B618C9">
        <w:rPr>
          <w:rFonts w:ascii="Trebuchet MS" w:hAnsi="Trebuchet MS"/>
        </w:rPr>
        <w:t xml:space="preserve"> </w:t>
      </w:r>
      <w:r w:rsidRPr="00796644">
        <w:rPr>
          <w:rFonts w:ascii="Trebuchet MS" w:hAnsi="Trebuchet MS"/>
          <w:b/>
        </w:rPr>
        <w:t xml:space="preserve">nicht sachgerecht, die Leistungsbeschaffung ausschließlich über die Bundesebene zu organisieren. </w:t>
      </w:r>
      <w:r w:rsidRPr="00796644">
        <w:rPr>
          <w:rFonts w:ascii="Trebuchet MS" w:hAnsi="Trebuchet MS"/>
          <w:b/>
        </w:rPr>
        <w:br/>
      </w:r>
    </w:p>
    <w:p w:rsidR="00796644" w:rsidRDefault="00B618C9" w:rsidP="00FF1C32">
      <w:pPr>
        <w:spacing w:line="276" w:lineRule="auto"/>
        <w:ind w:left="1134"/>
        <w:rPr>
          <w:rFonts w:ascii="Trebuchet MS" w:hAnsi="Trebuchet MS"/>
        </w:rPr>
      </w:pPr>
      <w:r>
        <w:rPr>
          <w:rFonts w:ascii="Trebuchet MS" w:hAnsi="Trebuchet MS"/>
        </w:rPr>
        <w:t xml:space="preserve">Auf diese Weise werden die spezifischen Kenntnisse der regionalen Träger </w:t>
      </w:r>
      <w:r w:rsidR="00072106">
        <w:rPr>
          <w:rFonts w:ascii="Trebuchet MS" w:hAnsi="Trebuchet MS"/>
        </w:rPr>
        <w:t xml:space="preserve">zu den </w:t>
      </w:r>
      <w:r w:rsidR="005A6FEC">
        <w:rPr>
          <w:rFonts w:ascii="Trebuchet MS" w:hAnsi="Trebuchet MS"/>
        </w:rPr>
        <w:t xml:space="preserve">regional vorhandenen Angeboten nicht hinreichend genutzt. Aus Sicht der Versicherten führt eine bundesweite Planung auch zur Tendenz wohnortferner Versorgung, was gerade bei Personengruppen wie Kindern und Jugendlichen oder älteren Menschen besonders problematisch ist. </w:t>
      </w:r>
      <w:r w:rsidR="005A6FEC">
        <w:rPr>
          <w:rFonts w:ascii="Trebuchet MS" w:hAnsi="Trebuchet MS"/>
        </w:rPr>
        <w:br/>
      </w:r>
    </w:p>
    <w:p w:rsidR="00B618C9" w:rsidRDefault="00796644" w:rsidP="00FF1C32">
      <w:pPr>
        <w:spacing w:line="276" w:lineRule="auto"/>
        <w:ind w:left="1134"/>
        <w:rPr>
          <w:rFonts w:ascii="Trebuchet MS" w:hAnsi="Trebuchet MS"/>
        </w:rPr>
      </w:pPr>
      <w:r>
        <w:rPr>
          <w:rFonts w:ascii="Trebuchet MS" w:hAnsi="Trebuchet MS"/>
        </w:rPr>
        <w:t>Wir brauchen regionale Rahmenvereinbarungen zur Abdeckung der verschiedenen Bedarfslagen.</w:t>
      </w:r>
      <w:r w:rsidR="005A6FEC">
        <w:rPr>
          <w:rFonts w:ascii="Trebuchet MS" w:hAnsi="Trebuchet MS"/>
        </w:rPr>
        <w:br/>
        <w:t xml:space="preserve">Mit Blick auf die Thematik </w:t>
      </w:r>
      <w:r>
        <w:rPr>
          <w:rFonts w:ascii="Trebuchet MS" w:hAnsi="Trebuchet MS"/>
        </w:rPr>
        <w:t>möglicher</w:t>
      </w:r>
      <w:r w:rsidR="005A6FEC">
        <w:rPr>
          <w:rFonts w:ascii="Trebuchet MS" w:hAnsi="Trebuchet MS"/>
        </w:rPr>
        <w:t xml:space="preserve"> Ausschreibungen ist auch darauf hinzuweisen, dass</w:t>
      </w:r>
      <w:r>
        <w:rPr>
          <w:rFonts w:ascii="Trebuchet MS" w:hAnsi="Trebuchet MS"/>
        </w:rPr>
        <w:t xml:space="preserve"> regionale Planungen</w:t>
      </w:r>
      <w:r w:rsidR="005A6FEC">
        <w:rPr>
          <w:rFonts w:ascii="Trebuchet MS" w:hAnsi="Trebuchet MS"/>
        </w:rPr>
        <w:t xml:space="preserve"> viel spezifischere Ausschreibungsbedingungen ermöglichen können als eine bundesweite Ausschreibung. </w:t>
      </w:r>
      <w:r w:rsidR="005A6FEC">
        <w:rPr>
          <w:rFonts w:ascii="Trebuchet MS" w:hAnsi="Trebuchet MS"/>
        </w:rPr>
        <w:br/>
      </w:r>
      <w:r w:rsidR="005A6FEC">
        <w:rPr>
          <w:rFonts w:ascii="Trebuchet MS" w:hAnsi="Trebuchet MS"/>
        </w:rPr>
        <w:br/>
        <w:t xml:space="preserve">Des Weiteren ist darauf hinzuweisen, dass eine ausschließlich bundesweit organisierte Leistungsbeschaffung auch die Mitwirkungsrechte der Selbsthilfeverbände unangemessen einschränkt, insbesondere bei der Einbindung in die regionale Struktur-, Auswahl- und Qualitätsplanung </w:t>
      </w:r>
      <w:r w:rsidR="005A6FEC">
        <w:rPr>
          <w:rFonts w:ascii="Trebuchet MS" w:hAnsi="Trebuchet MS"/>
        </w:rPr>
        <w:br/>
        <w:t xml:space="preserve">(§ 36 SGB IX) und bei der Konzeption, Abstimmung, Erprobung und Evaluation regionaler Modellvorhaben zur Stärkung der Rehabilitation (§ 11 SGB IX). </w:t>
      </w:r>
      <w:r w:rsidR="005A6FEC">
        <w:rPr>
          <w:rFonts w:ascii="Trebuchet MS" w:hAnsi="Trebuchet MS"/>
        </w:rPr>
        <w:br/>
      </w:r>
      <w:r w:rsidR="005A6FEC">
        <w:rPr>
          <w:rFonts w:ascii="Trebuchet MS" w:hAnsi="Trebuchet MS"/>
        </w:rPr>
        <w:br/>
        <w:t>Erstaunlich ist, dass der Referentenentwurf die Entwicklungspotentiale des vom Bundesministerium für Arbeit und Soziales selbst gesteuerten „</w:t>
      </w:r>
      <w:r w:rsidR="00727685">
        <w:rPr>
          <w:rFonts w:ascii="Trebuchet MS" w:hAnsi="Trebuchet MS"/>
        </w:rPr>
        <w:t>Reha</w:t>
      </w:r>
      <w:r w:rsidR="005A6FEC">
        <w:rPr>
          <w:rFonts w:ascii="Trebuchet MS" w:hAnsi="Trebuchet MS"/>
        </w:rPr>
        <w:t xml:space="preserve">-pro“-Programms durch die nun geplanten Regelungen der Leistungsbeschaffung teilweise </w:t>
      </w:r>
      <w:r w:rsidR="00727685">
        <w:rPr>
          <w:rFonts w:ascii="Trebuchet MS" w:hAnsi="Trebuchet MS"/>
        </w:rPr>
        <w:t>zunichtemacht</w:t>
      </w:r>
      <w:r w:rsidR="005A6FEC">
        <w:rPr>
          <w:rFonts w:ascii="Trebuchet MS" w:hAnsi="Trebuchet MS"/>
        </w:rPr>
        <w:t xml:space="preserve">. </w:t>
      </w:r>
      <w:r w:rsidR="005A6FEC">
        <w:rPr>
          <w:rFonts w:ascii="Trebuchet MS" w:hAnsi="Trebuchet MS"/>
        </w:rPr>
        <w:br/>
      </w:r>
    </w:p>
    <w:p w:rsidR="00796644" w:rsidRDefault="005A6FEC" w:rsidP="00FF1C32">
      <w:pPr>
        <w:numPr>
          <w:ilvl w:val="0"/>
          <w:numId w:val="29"/>
        </w:numPr>
        <w:spacing w:line="276" w:lineRule="auto"/>
        <w:ind w:left="1134" w:hanging="567"/>
        <w:rPr>
          <w:rFonts w:ascii="Trebuchet MS" w:hAnsi="Trebuchet MS"/>
        </w:rPr>
      </w:pPr>
      <w:r>
        <w:rPr>
          <w:rFonts w:ascii="Trebuchet MS" w:hAnsi="Trebuchet MS"/>
        </w:rPr>
        <w:t xml:space="preserve">Aus Sicht der </w:t>
      </w:r>
      <w:r w:rsidRPr="005A6FEC">
        <w:rPr>
          <w:rFonts w:ascii="Trebuchet MS" w:hAnsi="Trebuchet MS"/>
        </w:rPr>
        <w:t xml:space="preserve">BAG SELBSTHILFE </w:t>
      </w:r>
      <w:r>
        <w:rPr>
          <w:rFonts w:ascii="Trebuchet MS" w:hAnsi="Trebuchet MS"/>
        </w:rPr>
        <w:t xml:space="preserve">ist ohnehin zu beklagen, dass der Referentenentwurf </w:t>
      </w:r>
      <w:r w:rsidRPr="00796644">
        <w:rPr>
          <w:rFonts w:ascii="Trebuchet MS" w:hAnsi="Trebuchet MS"/>
          <w:b/>
        </w:rPr>
        <w:t>die koordinierenden Potentiale des SGB IX</w:t>
      </w:r>
      <w:r>
        <w:rPr>
          <w:rFonts w:ascii="Trebuchet MS" w:hAnsi="Trebuchet MS"/>
        </w:rPr>
        <w:t xml:space="preserve"> völlig außer Betracht lässt. </w:t>
      </w:r>
      <w:r>
        <w:rPr>
          <w:rFonts w:ascii="Trebuchet MS" w:hAnsi="Trebuchet MS"/>
        </w:rPr>
        <w:br/>
      </w:r>
    </w:p>
    <w:p w:rsidR="005A6FEC" w:rsidRDefault="005A6FEC" w:rsidP="00FF1C32">
      <w:pPr>
        <w:spacing w:line="276" w:lineRule="auto"/>
        <w:ind w:left="1134"/>
        <w:rPr>
          <w:rFonts w:ascii="Trebuchet MS" w:hAnsi="Trebuchet MS"/>
        </w:rPr>
      </w:pPr>
      <w:r>
        <w:rPr>
          <w:rFonts w:ascii="Trebuchet MS" w:hAnsi="Trebuchet MS"/>
        </w:rPr>
        <w:lastRenderedPageBreak/>
        <w:t xml:space="preserve">Besonders kurios ist insoweit, dass </w:t>
      </w:r>
      <w:r w:rsidR="00FF1C32">
        <w:rPr>
          <w:rFonts w:ascii="Trebuchet MS" w:hAnsi="Trebuchet MS"/>
        </w:rPr>
        <w:t xml:space="preserve">die Bundesregierung mit dem IPREG für einen Teil der Rehabilitation einen Sonderweg verfolgt hat. </w:t>
      </w:r>
      <w:r w:rsidR="00F3522E">
        <w:rPr>
          <w:rFonts w:ascii="Trebuchet MS" w:hAnsi="Trebuchet MS"/>
        </w:rPr>
        <w:t xml:space="preserve">Schon zur Koordinierung der Regelungszusammenhänge des SGB V und es SGB VI wäre eine Verankerung der Leistungsbeschaffung im SGB IX eigentlich zwingend angezeigt. </w:t>
      </w:r>
      <w:r w:rsidR="00F3522E">
        <w:rPr>
          <w:rFonts w:ascii="Trebuchet MS" w:hAnsi="Trebuchet MS"/>
        </w:rPr>
        <w:br/>
      </w:r>
    </w:p>
    <w:p w:rsidR="00F3522E" w:rsidRPr="00BF4EA0" w:rsidRDefault="00FF1C32" w:rsidP="00FF1C32">
      <w:pPr>
        <w:numPr>
          <w:ilvl w:val="0"/>
          <w:numId w:val="29"/>
        </w:numPr>
        <w:spacing w:line="276" w:lineRule="auto"/>
        <w:ind w:left="1134" w:hanging="567"/>
        <w:rPr>
          <w:rFonts w:ascii="Trebuchet MS" w:hAnsi="Trebuchet MS"/>
        </w:rPr>
      </w:pPr>
      <w:r>
        <w:rPr>
          <w:rFonts w:ascii="Trebuchet MS" w:hAnsi="Trebuchet MS"/>
        </w:rPr>
        <w:t xml:space="preserve">Mit dem vorliegenden Referentenentwurf wird der Versuch unternommen, auch </w:t>
      </w:r>
      <w:r w:rsidR="00F3522E">
        <w:rPr>
          <w:rFonts w:ascii="Trebuchet MS" w:hAnsi="Trebuchet MS"/>
        </w:rPr>
        <w:t xml:space="preserve">die </w:t>
      </w:r>
      <w:r w:rsidR="00F3522E" w:rsidRPr="00796644">
        <w:rPr>
          <w:rFonts w:ascii="Trebuchet MS" w:hAnsi="Trebuchet MS"/>
          <w:b/>
        </w:rPr>
        <w:t>Transparenz zur Qualität der Angebote</w:t>
      </w:r>
      <w:r w:rsidR="00F3522E">
        <w:rPr>
          <w:rFonts w:ascii="Trebuchet MS" w:hAnsi="Trebuchet MS"/>
        </w:rPr>
        <w:t xml:space="preserve"> zu verbessern. </w:t>
      </w:r>
      <w:r w:rsidR="00F3522E">
        <w:rPr>
          <w:rFonts w:ascii="Trebuchet MS" w:hAnsi="Trebuchet MS"/>
        </w:rPr>
        <w:br/>
      </w:r>
      <w:r w:rsidR="00F3522E" w:rsidRPr="00BF4EA0">
        <w:rPr>
          <w:rFonts w:ascii="Trebuchet MS" w:hAnsi="Trebuchet MS"/>
        </w:rPr>
        <w:t xml:space="preserve">Auch hierfür könnte über das SGB IX ein übergreifender Ansatz </w:t>
      </w:r>
      <w:r w:rsidR="00727685" w:rsidRPr="00BF4EA0">
        <w:rPr>
          <w:rFonts w:ascii="Trebuchet MS" w:hAnsi="Trebuchet MS"/>
        </w:rPr>
        <w:t>gewählt</w:t>
      </w:r>
      <w:r w:rsidR="00F3522E" w:rsidRPr="00BF4EA0">
        <w:rPr>
          <w:rFonts w:ascii="Trebuchet MS" w:hAnsi="Trebuchet MS"/>
        </w:rPr>
        <w:t xml:space="preserve"> werden. </w:t>
      </w:r>
      <w:r w:rsidR="00F3522E" w:rsidRPr="00BF4EA0">
        <w:rPr>
          <w:rFonts w:ascii="Trebuchet MS" w:hAnsi="Trebuchet MS"/>
        </w:rPr>
        <w:br/>
      </w:r>
      <w:r w:rsidR="00F3522E" w:rsidRPr="00BF4EA0">
        <w:rPr>
          <w:rFonts w:ascii="Trebuchet MS" w:hAnsi="Trebuchet MS"/>
        </w:rPr>
        <w:br/>
        <w:t xml:space="preserve">Nach § 15 Abs. 7 SGB V soll nach dem vorliegenden Referentenentwurf die Transparenz durch die Deutsche Rentenversicherung Bund hergestellt werden. </w:t>
      </w:r>
      <w:r w:rsidR="00F3522E" w:rsidRPr="00BF4EA0">
        <w:rPr>
          <w:rFonts w:ascii="Trebuchet MS" w:hAnsi="Trebuchet MS"/>
        </w:rPr>
        <w:br/>
      </w:r>
      <w:r w:rsidR="00F3522E" w:rsidRPr="00BF4EA0">
        <w:rPr>
          <w:rFonts w:ascii="Trebuchet MS" w:hAnsi="Trebuchet MS"/>
        </w:rPr>
        <w:br/>
        <w:t xml:space="preserve">Aus Sicht der BAG SELBSTHILFE ist es nicht sinnvoll, die Zulassung von Einrichtungen, die Bestimmung von Leistungsanforderungen, die Belegaussteuerung (Vorrang eigener Kliniken), die Qualitätssicherung, die Schaffung von Transparenz hinsichtlich der Qualität und die leistungsangemessene Praxisfindung alles in eine Hand zu geben. </w:t>
      </w:r>
      <w:r w:rsidR="00F3522E" w:rsidRPr="00BF4EA0">
        <w:rPr>
          <w:rFonts w:ascii="Trebuchet MS" w:hAnsi="Trebuchet MS"/>
        </w:rPr>
        <w:br/>
      </w:r>
      <w:r w:rsidR="00F3522E" w:rsidRPr="00BF4EA0">
        <w:rPr>
          <w:rFonts w:ascii="Trebuchet MS" w:hAnsi="Trebuchet MS"/>
        </w:rPr>
        <w:br/>
        <w:t xml:space="preserve">Ähnlich wie bei der Erstellung von Qualitätsberichten der Krankenhäuser nach dem SGB V sollte hinsichtlich der Qualitätstransparenz des Instituts für Qualität und Transparenz im Gesundheitswesen (IQTIG) mit der Schaffung von Qualitätstransparenz betraut werden. </w:t>
      </w:r>
      <w:r w:rsidR="00F3522E" w:rsidRPr="00BF4EA0">
        <w:rPr>
          <w:rFonts w:ascii="Trebuchet MS" w:hAnsi="Trebuchet MS"/>
        </w:rPr>
        <w:br/>
      </w:r>
      <w:r w:rsidR="00F3522E" w:rsidRPr="00BF4EA0">
        <w:rPr>
          <w:rFonts w:ascii="Trebuchet MS" w:hAnsi="Trebuchet MS"/>
        </w:rPr>
        <w:br/>
        <w:t xml:space="preserve">Zutreffend wird in § 15 Abs. 7 SGB VI das Erfordernis angesprochen, dass Daten der externen Qualitätssicherung für die Versicherten „wahrnehmbar“ sein sollen. </w:t>
      </w:r>
      <w:r w:rsidR="00F3522E" w:rsidRPr="00BF4EA0">
        <w:rPr>
          <w:rFonts w:ascii="Trebuchet MS" w:hAnsi="Trebuchet MS"/>
        </w:rPr>
        <w:br/>
        <w:t xml:space="preserve">Um tatsächlich die Ausübung des Wunsch- und Wahlrechts zu gewährleisten, müssen die Daten so aufbereitet sein, dass sie dem Versicherten auch als tragfähige Entscheidungsgrundlage dienen können. </w:t>
      </w:r>
      <w:r w:rsidR="00F3522E" w:rsidRPr="00BF4EA0">
        <w:rPr>
          <w:rFonts w:ascii="Trebuchet MS" w:hAnsi="Trebuchet MS"/>
        </w:rPr>
        <w:br/>
      </w:r>
      <w:r w:rsidR="00F3522E" w:rsidRPr="00BF4EA0">
        <w:rPr>
          <w:rFonts w:ascii="Trebuchet MS" w:hAnsi="Trebuchet MS"/>
        </w:rPr>
        <w:br/>
        <w:t xml:space="preserve">Dies </w:t>
      </w:r>
      <w:r w:rsidR="0050443A" w:rsidRPr="00BF4EA0">
        <w:rPr>
          <w:rFonts w:ascii="Trebuchet MS" w:hAnsi="Trebuchet MS"/>
        </w:rPr>
        <w:t xml:space="preserve">bedingt im Übrigen eine Beteiligung der Selbsthilfeverbände auch an der Bestimmung der relevanten Qualitätsindikatoren, wie dies bei der Qualitätssicherung nach dem SGB V seit langem üblich ist. </w:t>
      </w:r>
      <w:r w:rsidR="0050443A" w:rsidRPr="00BF4EA0">
        <w:rPr>
          <w:rFonts w:ascii="Trebuchet MS" w:hAnsi="Trebuchet MS"/>
        </w:rPr>
        <w:br/>
      </w:r>
    </w:p>
    <w:p w:rsidR="00796644" w:rsidRPr="00BF4EA0" w:rsidRDefault="0050443A" w:rsidP="00FF1C32">
      <w:pPr>
        <w:numPr>
          <w:ilvl w:val="0"/>
          <w:numId w:val="29"/>
        </w:numPr>
        <w:spacing w:line="276" w:lineRule="auto"/>
        <w:ind w:left="1134" w:hanging="567"/>
        <w:rPr>
          <w:rFonts w:ascii="Trebuchet MS" w:hAnsi="Trebuchet MS"/>
        </w:rPr>
      </w:pPr>
      <w:r w:rsidRPr="00BF4EA0">
        <w:rPr>
          <w:rFonts w:ascii="Trebuchet MS" w:hAnsi="Trebuchet MS"/>
        </w:rPr>
        <w:t>Aus Sicht der BAG SELBSTHILFE ist es nicht sachgerecht, die Leistungsbeschaffung ausschließlich auf die Phase des stationären Rehabilitationsaufenthaltes zu beziehen.</w:t>
      </w:r>
    </w:p>
    <w:p w:rsidR="0050443A" w:rsidRPr="00BF4EA0" w:rsidRDefault="0050443A" w:rsidP="00FF1C32">
      <w:pPr>
        <w:spacing w:line="276" w:lineRule="auto"/>
        <w:ind w:left="1134"/>
        <w:rPr>
          <w:rFonts w:ascii="Trebuchet MS" w:hAnsi="Trebuchet MS"/>
        </w:rPr>
      </w:pPr>
      <w:r w:rsidRPr="00BF4EA0">
        <w:rPr>
          <w:rFonts w:ascii="Trebuchet MS" w:hAnsi="Trebuchet MS"/>
        </w:rPr>
        <w:t xml:space="preserve">Daher sollten im Gesetzentwurf auch Elemente wie die Klärung des Entlassmanagement, der Nachsorge sowie die Abstimmung beruflicher/sozialer Wiedereingliederungsmaßnahmen explizit als regelbedürftig aufgenommen werden. </w:t>
      </w:r>
    </w:p>
    <w:p w:rsidR="0050443A" w:rsidRPr="00BF4EA0" w:rsidRDefault="0050443A" w:rsidP="00FF1C32">
      <w:pPr>
        <w:spacing w:line="276" w:lineRule="auto"/>
        <w:ind w:left="1134"/>
        <w:rPr>
          <w:rFonts w:ascii="Trebuchet MS" w:hAnsi="Trebuchet MS"/>
        </w:rPr>
      </w:pPr>
      <w:r w:rsidRPr="00BF4EA0">
        <w:rPr>
          <w:rFonts w:ascii="Trebuchet MS" w:hAnsi="Trebuchet MS"/>
        </w:rPr>
        <w:lastRenderedPageBreak/>
        <w:t xml:space="preserve">Auch im Hinblick auf diese Leistungen erscheint eine Leistungsbeschaffung, die über die Bundesebene organisiert wird, nicht als adäquat. </w:t>
      </w:r>
      <w:r w:rsidRPr="00BF4EA0">
        <w:rPr>
          <w:rFonts w:ascii="Trebuchet MS" w:hAnsi="Trebuchet MS"/>
        </w:rPr>
        <w:br/>
      </w:r>
    </w:p>
    <w:p w:rsidR="00C2454B" w:rsidRPr="00C2454B" w:rsidRDefault="0050443A" w:rsidP="00C2454B">
      <w:pPr>
        <w:numPr>
          <w:ilvl w:val="0"/>
          <w:numId w:val="29"/>
        </w:numPr>
        <w:spacing w:line="276" w:lineRule="auto"/>
        <w:ind w:left="1134" w:hanging="567"/>
        <w:rPr>
          <w:rFonts w:ascii="Trebuchet MS" w:hAnsi="Trebuchet MS"/>
        </w:rPr>
      </w:pPr>
      <w:r w:rsidRPr="00BF4EA0">
        <w:rPr>
          <w:rFonts w:ascii="Trebuchet MS" w:hAnsi="Trebuchet MS"/>
        </w:rPr>
        <w:t xml:space="preserve">Wie bereits aufgeführt wurde, ist es aus Sicht der BAG SELBSTHILFE zweifelhaft, ob mit dem im Referentenentwurf vorgesehenen Instrumentarium ein bedarfsabdeckendes Leistungsangebot auch für spezifische Patientengruppen sichergestellt werden kann. </w:t>
      </w:r>
      <w:r w:rsidRPr="00BF4EA0">
        <w:rPr>
          <w:rFonts w:ascii="Trebuchet MS" w:hAnsi="Trebuchet MS"/>
        </w:rPr>
        <w:br/>
      </w:r>
      <w:r w:rsidRPr="00BF4EA0">
        <w:rPr>
          <w:rFonts w:ascii="Trebuchet MS" w:hAnsi="Trebuchet MS"/>
        </w:rPr>
        <w:br/>
        <w:t xml:space="preserve">Mit Nachdruck ist daher zu betonen, dass sich das in § 15 Abs. 9 SGB VI am Ende angesprochene </w:t>
      </w:r>
      <w:r w:rsidRPr="00BF4EA0">
        <w:rPr>
          <w:rFonts w:ascii="Trebuchet MS" w:hAnsi="Trebuchet MS"/>
          <w:b/>
        </w:rPr>
        <w:t xml:space="preserve">Wunsch- und Wahlrecht nach § 8 SGB </w:t>
      </w:r>
      <w:r w:rsidR="00796644" w:rsidRPr="00BF4EA0">
        <w:rPr>
          <w:rFonts w:ascii="Trebuchet MS" w:hAnsi="Trebuchet MS"/>
          <w:b/>
        </w:rPr>
        <w:t>IX</w:t>
      </w:r>
      <w:r w:rsidRPr="00BF4EA0">
        <w:rPr>
          <w:rFonts w:ascii="Trebuchet MS" w:hAnsi="Trebuchet MS"/>
          <w:b/>
        </w:rPr>
        <w:t xml:space="preserve"> </w:t>
      </w:r>
      <w:r w:rsidRPr="00BF4EA0">
        <w:rPr>
          <w:rFonts w:ascii="Trebuchet MS" w:hAnsi="Trebuchet MS"/>
        </w:rPr>
        <w:t xml:space="preserve">nur auf die Situation bezieht, dass mehrere adäquate Angebote vorhanden sind, die den spezifischen Bedarf des Patienten abdecken. </w:t>
      </w:r>
      <w:r w:rsidRPr="00BF4EA0">
        <w:rPr>
          <w:rFonts w:ascii="Trebuchet MS" w:hAnsi="Trebuchet MS"/>
        </w:rPr>
        <w:br/>
        <w:t>Nur all zu oft werden den Versicherten eben nicht adäquate Angebote gemacht. Entscheidet sich der Patienten dann geben diese Option, dann</w:t>
      </w:r>
      <w:r w:rsidRPr="00FF1C32">
        <w:rPr>
          <w:rFonts w:ascii="Trebuchet MS" w:hAnsi="Trebuchet MS"/>
          <w:i/>
          <w:u w:val="single"/>
        </w:rPr>
        <w:t xml:space="preserve"> </w:t>
      </w:r>
      <w:r w:rsidRPr="00FF1C32">
        <w:rPr>
          <w:rFonts w:ascii="Trebuchet MS" w:hAnsi="Trebuchet MS"/>
        </w:rPr>
        <w:t>hat</w:t>
      </w:r>
      <w:r>
        <w:rPr>
          <w:rFonts w:ascii="Trebuchet MS" w:hAnsi="Trebuchet MS"/>
        </w:rPr>
        <w:t xml:space="preserve"> das mit der Ausübung eines Wunsch- und Wahlrechts nichts zu tun. Auch der Hinweis auf den Grundsatz der Wirtschaftlichkeit und Sparsamkeit ist dann verfehlt. </w:t>
      </w:r>
      <w:r w:rsidR="0035255C">
        <w:rPr>
          <w:rFonts w:ascii="Trebuchet MS" w:hAnsi="Trebuchet MS"/>
        </w:rPr>
        <w:br/>
        <w:t xml:space="preserve">Daher ist es aus Sicht der </w:t>
      </w:r>
      <w:r w:rsidR="0035255C" w:rsidRPr="0035255C">
        <w:rPr>
          <w:rFonts w:ascii="Trebuchet MS" w:hAnsi="Trebuchet MS"/>
        </w:rPr>
        <w:t xml:space="preserve">BAG SELBSTHILFE </w:t>
      </w:r>
      <w:r w:rsidR="0035255C">
        <w:rPr>
          <w:rFonts w:ascii="Trebuchet MS" w:hAnsi="Trebuchet MS"/>
        </w:rPr>
        <w:t xml:space="preserve">geboten, in § 15 Abs. 9 klarzustellen, dass die Grundlage des Wunsch- und Wahlrechts nach </w:t>
      </w:r>
      <w:r w:rsidR="0035255C">
        <w:rPr>
          <w:rFonts w:ascii="Trebuchet MS" w:hAnsi="Trebuchet MS"/>
        </w:rPr>
        <w:br/>
        <w:t xml:space="preserve">§ 8 SGB IX darin besteht, dass dem Versicherten mehrere Optionen der Rehabilitation angeboten werden, die in der Lage sind, seine spezifischen Bedarfe auch tatsächlich abzudecken. </w:t>
      </w:r>
      <w:r w:rsidR="00C2454B">
        <w:rPr>
          <w:rFonts w:ascii="Trebuchet MS" w:hAnsi="Trebuchet MS"/>
        </w:rPr>
        <w:br/>
      </w:r>
      <w:r w:rsidR="00C2454B">
        <w:rPr>
          <w:rFonts w:ascii="Trebuchet MS" w:hAnsi="Trebuchet MS"/>
        </w:rPr>
        <w:br/>
      </w:r>
      <w:r w:rsidR="00C2454B" w:rsidRPr="00C2454B">
        <w:rPr>
          <w:rFonts w:ascii="Trebuchet MS" w:hAnsi="Trebuchet MS"/>
        </w:rPr>
        <w:t>Die BAG SELBSTHILFE vermisst bei der Bewertung der Entfernung zum Wohnort in der Begründung zu § 15 Abs. 9 Nr. 3 e) den Hinweis auf eine ggf. bestehende Distanzierungsnotwendigkeit einerseits oder gerade die Notwendigkeit der Wohnortnähe andererseits, wenn Angehörige für den Reha-Prozess von besonderer Bedeutung sind oder ein unmittelbarer Kontakt zum Sozialraum zur weiteren Gestaltung der Nachsorge oder im Sinne einer wohnortnahen Hilfsmittelversorgung unter Beachtung der regionalen Gegebenheiten sinnvoll ist.</w:t>
      </w:r>
    </w:p>
    <w:p w:rsidR="0050443A" w:rsidRPr="00C2454B" w:rsidRDefault="00C2454B" w:rsidP="00C2454B">
      <w:pPr>
        <w:spacing w:line="276" w:lineRule="auto"/>
        <w:ind w:left="1134"/>
        <w:rPr>
          <w:rFonts w:ascii="Trebuchet MS" w:hAnsi="Trebuchet MS"/>
        </w:rPr>
      </w:pPr>
      <w:r w:rsidRPr="00C2454B">
        <w:rPr>
          <w:rFonts w:ascii="Trebuchet MS" w:hAnsi="Trebuchet MS"/>
        </w:rPr>
        <w:br/>
        <w:t>Die BAG SELBSTHILFE hält es für sinnvoll, dass auch die maßgeblichen Vertretungen der Betroffenen (z. B. Deutscher Behindertenrat, BAG Selbsthilfe) die Gelegenheit für eine Stellungnahme erhalten, die im vorletzten Satz von § 15 Abs. 9 lediglich den maßgeblichen Vereinigungen für die Wahrnehmung der Interessen der Rehabilitationseinrichtungen eingeräumt wird. Es ist wichtig, dass auch die konkreten Problemlagen und Erfahrungen der Patienten bzw. Rehabilitanden unmittelbar berücksichtigt werden können. § 15 Abs. 9 vorletzter Satz sollte deshalb entsprechend ergänzt werden.</w:t>
      </w:r>
      <w:r w:rsidR="0035255C" w:rsidRPr="00C2454B">
        <w:rPr>
          <w:rFonts w:ascii="Trebuchet MS" w:hAnsi="Trebuchet MS"/>
        </w:rPr>
        <w:br/>
      </w:r>
    </w:p>
    <w:p w:rsidR="0035255C" w:rsidRDefault="0035255C" w:rsidP="00FF1C32">
      <w:pPr>
        <w:numPr>
          <w:ilvl w:val="0"/>
          <w:numId w:val="29"/>
        </w:numPr>
        <w:spacing w:line="276" w:lineRule="auto"/>
        <w:ind w:left="1134" w:hanging="567"/>
        <w:rPr>
          <w:rFonts w:ascii="Trebuchet MS" w:hAnsi="Trebuchet MS"/>
        </w:rPr>
      </w:pPr>
      <w:r>
        <w:rPr>
          <w:rFonts w:ascii="Trebuchet MS" w:hAnsi="Trebuchet MS"/>
        </w:rPr>
        <w:t xml:space="preserve">Unabhängig davon, welche Ausgestaltungen das Leistungsbeschaffungsrecht im weiteren Gesetzgebungsverfahren noch erhalten wird, ist es aus </w:t>
      </w:r>
      <w:r>
        <w:rPr>
          <w:rFonts w:ascii="Trebuchet MS" w:hAnsi="Trebuchet MS"/>
        </w:rPr>
        <w:lastRenderedPageBreak/>
        <w:t xml:space="preserve">Sicht der </w:t>
      </w:r>
      <w:r w:rsidRPr="0035255C">
        <w:rPr>
          <w:rFonts w:ascii="Trebuchet MS" w:hAnsi="Trebuchet MS"/>
        </w:rPr>
        <w:t xml:space="preserve">BAG SELBSTHILFE </w:t>
      </w:r>
      <w:r>
        <w:rPr>
          <w:rFonts w:ascii="Trebuchet MS" w:hAnsi="Trebuchet MS"/>
        </w:rPr>
        <w:t xml:space="preserve">angezeigt, im Gesetz eine </w:t>
      </w:r>
      <w:r w:rsidRPr="00796644">
        <w:rPr>
          <w:rFonts w:ascii="Trebuchet MS" w:hAnsi="Trebuchet MS"/>
          <w:b/>
        </w:rPr>
        <w:t xml:space="preserve">Berichtspflicht </w:t>
      </w:r>
      <w:r>
        <w:rPr>
          <w:rFonts w:ascii="Trebuchet MS" w:hAnsi="Trebuchet MS"/>
        </w:rPr>
        <w:t>nach dem Vorbild des Teilhabeverfahrensberichts der BA</w:t>
      </w:r>
      <w:r w:rsidR="0002537B">
        <w:rPr>
          <w:rFonts w:ascii="Trebuchet MS" w:hAnsi="Trebuchet MS"/>
        </w:rPr>
        <w:t>R</w:t>
      </w:r>
      <w:r>
        <w:rPr>
          <w:rFonts w:ascii="Trebuchet MS" w:hAnsi="Trebuchet MS"/>
        </w:rPr>
        <w:t xml:space="preserve"> einzuführen. </w:t>
      </w:r>
      <w:r>
        <w:rPr>
          <w:rFonts w:ascii="Trebuchet MS" w:hAnsi="Trebuchet MS"/>
        </w:rPr>
        <w:br/>
        <w:t xml:space="preserve">Nur so kann es gelingen, gesetzgeberisch zeitnah zu reagieren, wenn die </w:t>
      </w:r>
      <w:r w:rsidR="0002537B">
        <w:rPr>
          <w:rFonts w:ascii="Trebuchet MS" w:hAnsi="Trebuchet MS"/>
        </w:rPr>
        <w:t xml:space="preserve">intendierten Ziele nicht erreicht wurden. </w:t>
      </w:r>
      <w:r w:rsidR="0002537B">
        <w:rPr>
          <w:rFonts w:ascii="Trebuchet MS" w:hAnsi="Trebuchet MS"/>
        </w:rPr>
        <w:br/>
        <w:t xml:space="preserve">Wenig sinnvoll ist es in diesem Zusammenhang, für die Vergütungsregelungen eine Umsetzungsphase bis 2025 vorzusehen. Eine Neuregelung der Leistungsbeschaffung muss konsequent und zügig umgesetzt und über ein </w:t>
      </w:r>
      <w:r w:rsidR="0002537B" w:rsidRPr="00796644">
        <w:rPr>
          <w:rFonts w:ascii="Trebuchet MS" w:hAnsi="Trebuchet MS"/>
          <w:b/>
        </w:rPr>
        <w:t>Monitoring der Selbsthilfeverbände</w:t>
      </w:r>
      <w:r w:rsidR="0002537B">
        <w:rPr>
          <w:rFonts w:ascii="Trebuchet MS" w:hAnsi="Trebuchet MS"/>
        </w:rPr>
        <w:t xml:space="preserve"> begleitet werden. </w:t>
      </w:r>
    </w:p>
    <w:p w:rsidR="00796644" w:rsidRDefault="00796644" w:rsidP="00034F4B">
      <w:pPr>
        <w:spacing w:line="276" w:lineRule="auto"/>
        <w:ind w:left="567"/>
        <w:rPr>
          <w:rFonts w:ascii="Trebuchet MS" w:hAnsi="Trebuchet MS"/>
        </w:rPr>
      </w:pPr>
    </w:p>
    <w:p w:rsidR="00796644" w:rsidRDefault="00796644" w:rsidP="00FF1C32">
      <w:pPr>
        <w:spacing w:line="276" w:lineRule="auto"/>
        <w:ind w:left="1134"/>
        <w:rPr>
          <w:rFonts w:ascii="Trebuchet MS" w:hAnsi="Trebuchet MS"/>
        </w:rPr>
      </w:pPr>
      <w:r w:rsidRPr="00796644">
        <w:rPr>
          <w:rFonts w:ascii="Trebuchet MS" w:hAnsi="Trebuchet MS"/>
          <w:b/>
        </w:rPr>
        <w:t>Die Beteiligungsrechte der Selbsthilfeverbände müssen im gesamten Verfahren der Leistungsbeschaffung viel stärker implementiert und durch strukturelle Unterstützungsmaßnahmen gestärkt werden</w:t>
      </w:r>
      <w:r>
        <w:rPr>
          <w:rFonts w:ascii="Trebuchet MS" w:hAnsi="Trebuchet MS"/>
        </w:rPr>
        <w:t>.</w:t>
      </w:r>
    </w:p>
    <w:p w:rsidR="0002537B" w:rsidRDefault="0002537B" w:rsidP="003B2E50">
      <w:pPr>
        <w:spacing w:line="276" w:lineRule="auto"/>
        <w:rPr>
          <w:rFonts w:ascii="Trebuchet MS" w:hAnsi="Trebuchet MS"/>
        </w:rPr>
      </w:pPr>
    </w:p>
    <w:p w:rsidR="0002537B" w:rsidRDefault="00FF1C32" w:rsidP="00FF1C32">
      <w:pPr>
        <w:spacing w:line="276" w:lineRule="auto"/>
        <w:ind w:left="1134" w:hanging="567"/>
        <w:rPr>
          <w:rFonts w:ascii="Trebuchet MS" w:hAnsi="Trebuchet MS"/>
        </w:rPr>
      </w:pPr>
      <w:r>
        <w:rPr>
          <w:rFonts w:ascii="Trebuchet MS" w:hAnsi="Trebuchet MS"/>
        </w:rPr>
        <w:t>8)</w:t>
      </w:r>
      <w:r>
        <w:rPr>
          <w:rFonts w:ascii="Trebuchet MS" w:hAnsi="Trebuchet MS"/>
        </w:rPr>
        <w:tab/>
      </w:r>
      <w:r w:rsidR="0002537B">
        <w:rPr>
          <w:rFonts w:ascii="Trebuchet MS" w:hAnsi="Trebuchet MS"/>
        </w:rPr>
        <w:t xml:space="preserve">Die </w:t>
      </w:r>
      <w:r w:rsidR="0002537B" w:rsidRPr="0002537B">
        <w:rPr>
          <w:rFonts w:ascii="Trebuchet MS" w:hAnsi="Trebuchet MS"/>
        </w:rPr>
        <w:t xml:space="preserve">BAG SELBSTHILFE </w:t>
      </w:r>
      <w:r w:rsidR="0002537B">
        <w:rPr>
          <w:rFonts w:ascii="Trebuchet MS" w:hAnsi="Trebuchet MS"/>
        </w:rPr>
        <w:t xml:space="preserve">begrüßt die im Referentenentwurf vorgesehene Weiterentwicklung des Übergangsgeldes. </w:t>
      </w:r>
    </w:p>
    <w:p w:rsidR="00FF1C32" w:rsidRDefault="00FF1C32" w:rsidP="00FF1C32">
      <w:pPr>
        <w:spacing w:line="276" w:lineRule="auto"/>
        <w:ind w:left="1134" w:hanging="567"/>
        <w:rPr>
          <w:rFonts w:ascii="Trebuchet MS" w:hAnsi="Trebuchet MS"/>
        </w:rPr>
      </w:pPr>
    </w:p>
    <w:p w:rsidR="00FF1C32" w:rsidRDefault="00FF1C32" w:rsidP="00FF1C32">
      <w:pPr>
        <w:spacing w:line="276" w:lineRule="auto"/>
        <w:ind w:left="1134" w:hanging="567"/>
        <w:rPr>
          <w:rFonts w:ascii="Trebuchet MS" w:hAnsi="Trebuchet MS"/>
        </w:rPr>
      </w:pPr>
    </w:p>
    <w:p w:rsidR="00BF4EA0" w:rsidRDefault="00BF4EA0">
      <w:pPr>
        <w:rPr>
          <w:rFonts w:ascii="Trebuchet MS" w:hAnsi="Trebuchet MS"/>
          <w:b/>
        </w:rPr>
      </w:pPr>
      <w:r>
        <w:rPr>
          <w:rFonts w:ascii="Trebuchet MS" w:hAnsi="Trebuchet MS"/>
          <w:b/>
        </w:rPr>
        <w:br w:type="page"/>
      </w:r>
    </w:p>
    <w:p w:rsidR="0002537B" w:rsidRPr="003B2E50" w:rsidRDefault="00FF1C32" w:rsidP="00FF1C32">
      <w:pPr>
        <w:spacing w:line="276" w:lineRule="auto"/>
        <w:ind w:left="567" w:hanging="567"/>
        <w:rPr>
          <w:rFonts w:ascii="Trebuchet MS" w:hAnsi="Trebuchet MS"/>
          <w:b/>
        </w:rPr>
      </w:pPr>
      <w:r w:rsidRPr="003B2E50">
        <w:rPr>
          <w:rFonts w:ascii="Trebuchet MS" w:hAnsi="Trebuchet MS"/>
          <w:b/>
        </w:rPr>
        <w:lastRenderedPageBreak/>
        <w:t>III.</w:t>
      </w:r>
      <w:r w:rsidRPr="003B2E50">
        <w:rPr>
          <w:rFonts w:ascii="Trebuchet MS" w:hAnsi="Trebuchet MS"/>
          <w:b/>
        </w:rPr>
        <w:tab/>
        <w:t>Modernisierung der Sozialversicherungswahlen</w:t>
      </w:r>
    </w:p>
    <w:p w:rsidR="00FF1C32" w:rsidRDefault="00FF1C32" w:rsidP="00FF1C32">
      <w:pPr>
        <w:spacing w:line="276" w:lineRule="auto"/>
        <w:ind w:left="567" w:hanging="567"/>
        <w:rPr>
          <w:rFonts w:ascii="Trebuchet MS" w:hAnsi="Trebuchet MS"/>
        </w:rPr>
      </w:pPr>
    </w:p>
    <w:p w:rsidR="00FF1C32" w:rsidRDefault="00FF1C32" w:rsidP="003B2E50">
      <w:pPr>
        <w:spacing w:line="276" w:lineRule="auto"/>
        <w:ind w:left="567"/>
        <w:rPr>
          <w:rFonts w:ascii="Trebuchet MS" w:hAnsi="Trebuchet MS"/>
        </w:rPr>
      </w:pPr>
      <w:r>
        <w:rPr>
          <w:rFonts w:ascii="Trebuchet MS" w:hAnsi="Trebuchet MS"/>
        </w:rPr>
        <w:t xml:space="preserve">Die </w:t>
      </w:r>
      <w:r w:rsidRPr="00FF1C32">
        <w:rPr>
          <w:rFonts w:ascii="Trebuchet MS" w:hAnsi="Trebuchet MS"/>
        </w:rPr>
        <w:t xml:space="preserve">BAG </w:t>
      </w:r>
      <w:r w:rsidR="003B2E50" w:rsidRPr="00FF1C32">
        <w:rPr>
          <w:rFonts w:ascii="Trebuchet MS" w:hAnsi="Trebuchet MS"/>
        </w:rPr>
        <w:t xml:space="preserve">SELBSTHILFE </w:t>
      </w:r>
      <w:r w:rsidR="003B2E50">
        <w:rPr>
          <w:rFonts w:ascii="Trebuchet MS" w:hAnsi="Trebuchet MS"/>
        </w:rPr>
        <w:t>begrüßt</w:t>
      </w:r>
      <w:r>
        <w:rPr>
          <w:rFonts w:ascii="Trebuchet MS" w:hAnsi="Trebuchet MS"/>
        </w:rPr>
        <w:t xml:space="preserve"> es sehr, dass das </w:t>
      </w:r>
      <w:r w:rsidR="003B2E50">
        <w:rPr>
          <w:rFonts w:ascii="Trebuchet MS" w:hAnsi="Trebuchet MS"/>
        </w:rPr>
        <w:t>Ministerium</w:t>
      </w:r>
      <w:r>
        <w:rPr>
          <w:rFonts w:ascii="Trebuchet MS" w:hAnsi="Trebuchet MS"/>
        </w:rPr>
        <w:t xml:space="preserve"> die geringe Wahlbeteiligung an Sozialwahlen zum Anlass nimmt, Reformüberlegungen anzustellen.</w:t>
      </w:r>
    </w:p>
    <w:p w:rsidR="00FF1C32" w:rsidRDefault="00FF1C32" w:rsidP="00FF1C32">
      <w:pPr>
        <w:spacing w:line="276" w:lineRule="auto"/>
        <w:ind w:left="567" w:hanging="567"/>
        <w:rPr>
          <w:rFonts w:ascii="Trebuchet MS" w:hAnsi="Trebuchet MS"/>
        </w:rPr>
      </w:pPr>
    </w:p>
    <w:p w:rsidR="00FF1C32" w:rsidRDefault="00FF1C32" w:rsidP="003B2E50">
      <w:pPr>
        <w:spacing w:line="276" w:lineRule="auto"/>
        <w:ind w:left="567"/>
        <w:rPr>
          <w:rFonts w:ascii="Trebuchet MS" w:hAnsi="Trebuchet MS"/>
        </w:rPr>
      </w:pPr>
      <w:r>
        <w:rPr>
          <w:rFonts w:ascii="Trebuchet MS" w:hAnsi="Trebuchet MS"/>
        </w:rPr>
        <w:t xml:space="preserve">Aus Sicht der </w:t>
      </w:r>
      <w:r w:rsidRPr="00FF1C32">
        <w:rPr>
          <w:rFonts w:ascii="Trebuchet MS" w:hAnsi="Trebuchet MS"/>
        </w:rPr>
        <w:t xml:space="preserve">BAG SELBSTHILFE </w:t>
      </w:r>
      <w:r w:rsidR="003B2E50">
        <w:rPr>
          <w:rFonts w:ascii="Trebuchet MS" w:hAnsi="Trebuchet MS"/>
        </w:rPr>
        <w:t>ist die geringe Wahlbeteiligung aber nicht etwa auf den geringen Bekanntheitsgrad der Wahlen zurückzuführen.</w:t>
      </w:r>
    </w:p>
    <w:p w:rsidR="003B2E50" w:rsidRDefault="003B2E50" w:rsidP="00FF1C32">
      <w:pPr>
        <w:spacing w:line="276" w:lineRule="auto"/>
        <w:ind w:left="567" w:hanging="567"/>
        <w:rPr>
          <w:rFonts w:ascii="Trebuchet MS" w:hAnsi="Trebuchet MS"/>
        </w:rPr>
      </w:pPr>
    </w:p>
    <w:p w:rsidR="003B2E50" w:rsidRDefault="003B2E50" w:rsidP="003B2E50">
      <w:pPr>
        <w:spacing w:line="276" w:lineRule="auto"/>
        <w:ind w:left="567"/>
        <w:rPr>
          <w:rFonts w:ascii="Trebuchet MS" w:hAnsi="Trebuchet MS"/>
        </w:rPr>
      </w:pPr>
      <w:r>
        <w:rPr>
          <w:rFonts w:ascii="Trebuchet MS" w:hAnsi="Trebuchet MS"/>
        </w:rPr>
        <w:t>Das Grundproblem der Sozialwahlen besteht darin, dass die Versicherten nicht erkennen können, dass es bei den Entscheidungen von Vertreterversammlungen und Verwaltungsräten tatsächlich um Gremien geht, bei denen es um die Wahrnehmung ihrer Interessen geht.</w:t>
      </w:r>
    </w:p>
    <w:p w:rsidR="003B2E50" w:rsidRDefault="003B2E50" w:rsidP="00FF1C32">
      <w:pPr>
        <w:spacing w:line="276" w:lineRule="auto"/>
        <w:ind w:left="567" w:hanging="567"/>
        <w:rPr>
          <w:rFonts w:ascii="Trebuchet MS" w:hAnsi="Trebuchet MS"/>
        </w:rPr>
      </w:pPr>
    </w:p>
    <w:p w:rsidR="003B2E50" w:rsidRDefault="003B2E50" w:rsidP="003B2E50">
      <w:pPr>
        <w:spacing w:line="276" w:lineRule="auto"/>
        <w:ind w:left="567"/>
        <w:rPr>
          <w:rFonts w:ascii="Trebuchet MS" w:hAnsi="Trebuchet MS"/>
        </w:rPr>
      </w:pPr>
      <w:r>
        <w:rPr>
          <w:rFonts w:ascii="Trebuchet MS" w:hAnsi="Trebuchet MS"/>
        </w:rPr>
        <w:t xml:space="preserve">Richtungsweisend ist insofern die Neuregelung der Medizinischen Dienste der Krankenversicherung, wo § 279 Absatz V SGB V den Vertreterinnen und Vertretern der Patienten, der Selbsthilfe und der von Pflege Betroffenen ein verbrieftes Mitwirkungsrecht einräumt. </w:t>
      </w:r>
    </w:p>
    <w:p w:rsidR="003B2E50" w:rsidRDefault="003B2E50" w:rsidP="00FF1C32">
      <w:pPr>
        <w:spacing w:line="276" w:lineRule="auto"/>
        <w:ind w:left="567" w:hanging="567"/>
        <w:rPr>
          <w:rFonts w:ascii="Trebuchet MS" w:hAnsi="Trebuchet MS"/>
        </w:rPr>
      </w:pPr>
    </w:p>
    <w:p w:rsidR="003B2E50" w:rsidRDefault="003B2E50" w:rsidP="00FF1C32">
      <w:pPr>
        <w:spacing w:line="276" w:lineRule="auto"/>
        <w:ind w:left="567" w:hanging="567"/>
        <w:rPr>
          <w:rFonts w:ascii="Trebuchet MS" w:hAnsi="Trebuchet MS"/>
        </w:rPr>
      </w:pPr>
      <w:r>
        <w:rPr>
          <w:rFonts w:ascii="Trebuchet MS" w:hAnsi="Trebuchet MS"/>
        </w:rPr>
        <w:tab/>
        <w:t xml:space="preserve">Aus Sicht der </w:t>
      </w:r>
      <w:r w:rsidRPr="003B2E50">
        <w:rPr>
          <w:rFonts w:ascii="Trebuchet MS" w:hAnsi="Trebuchet MS"/>
        </w:rPr>
        <w:t xml:space="preserve">BAG SELBSTHILFE </w:t>
      </w:r>
      <w:r>
        <w:rPr>
          <w:rFonts w:ascii="Trebuchet MS" w:hAnsi="Trebuchet MS"/>
        </w:rPr>
        <w:t>sollte die Besetzung der Selbstverwaltungsgremien zumindest der Kranken- und Pflegeversicherung künftig analog geregelt werden. Hierfür wären spezifische Listen für diese Sitze in der Wahlordnung für die Sozialversicherung vorzusehen.</w:t>
      </w:r>
    </w:p>
    <w:p w:rsidR="0002537B" w:rsidRDefault="0002537B" w:rsidP="00034F4B">
      <w:pPr>
        <w:spacing w:line="276" w:lineRule="auto"/>
        <w:ind w:left="567"/>
        <w:rPr>
          <w:rFonts w:ascii="Trebuchet MS" w:hAnsi="Trebuchet MS"/>
        </w:rPr>
      </w:pPr>
    </w:p>
    <w:p w:rsidR="0002537B" w:rsidRDefault="0002537B" w:rsidP="00034F4B">
      <w:pPr>
        <w:spacing w:line="276" w:lineRule="auto"/>
        <w:ind w:left="567"/>
        <w:rPr>
          <w:rFonts w:ascii="Trebuchet MS" w:hAnsi="Trebuchet MS"/>
        </w:rPr>
      </w:pPr>
    </w:p>
    <w:p w:rsidR="0002537B" w:rsidRPr="00F3522E" w:rsidRDefault="0002537B" w:rsidP="00034F4B">
      <w:pPr>
        <w:spacing w:line="276" w:lineRule="auto"/>
        <w:ind w:left="567"/>
        <w:rPr>
          <w:rFonts w:ascii="Trebuchet MS" w:hAnsi="Trebuchet MS"/>
        </w:rPr>
      </w:pPr>
      <w:r>
        <w:rPr>
          <w:rFonts w:ascii="Trebuchet MS" w:hAnsi="Trebuchet MS"/>
        </w:rPr>
        <w:t>Düsseldorf, 0</w:t>
      </w:r>
      <w:r w:rsidR="003B2E50">
        <w:rPr>
          <w:rFonts w:ascii="Trebuchet MS" w:hAnsi="Trebuchet MS"/>
        </w:rPr>
        <w:t>8.08</w:t>
      </w:r>
      <w:r>
        <w:rPr>
          <w:rFonts w:ascii="Trebuchet MS" w:hAnsi="Trebuchet MS"/>
        </w:rPr>
        <w:t>.2020</w:t>
      </w:r>
    </w:p>
    <w:p w:rsidR="005A6FEC" w:rsidRDefault="005A6FEC" w:rsidP="00034F4B">
      <w:pPr>
        <w:spacing w:line="276" w:lineRule="auto"/>
        <w:ind w:left="567"/>
        <w:rPr>
          <w:rFonts w:ascii="Trebuchet MS" w:hAnsi="Trebuchet MS"/>
        </w:rPr>
      </w:pPr>
    </w:p>
    <w:sectPr w:rsidR="005A6FEC"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23" w:rsidRDefault="00554B23" w:rsidP="006B56FB">
      <w:r>
        <w:separator/>
      </w:r>
    </w:p>
  </w:endnote>
  <w:endnote w:type="continuationSeparator" w:id="0">
    <w:p w:rsidR="00554B23" w:rsidRDefault="00554B23"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6C" w:rsidRDefault="00C30A6C">
    <w:pPr>
      <w:pStyle w:val="Fuzeile"/>
      <w:jc w:val="right"/>
    </w:pPr>
    <w:r>
      <w:fldChar w:fldCharType="begin"/>
    </w:r>
    <w:r>
      <w:instrText>PAGE   \* MERGEFORMAT</w:instrText>
    </w:r>
    <w:r>
      <w:fldChar w:fldCharType="separate"/>
    </w:r>
    <w:r>
      <w:rPr>
        <w:noProof/>
      </w:rPr>
      <w:t>11</w:t>
    </w:r>
    <w:r>
      <w:fldChar w:fldCharType="end"/>
    </w:r>
  </w:p>
  <w:p w:rsidR="00C30A6C" w:rsidRDefault="00C30A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23" w:rsidRDefault="00554B23" w:rsidP="006B56FB">
      <w:r>
        <w:separator/>
      </w:r>
    </w:p>
  </w:footnote>
  <w:footnote w:type="continuationSeparator" w:id="0">
    <w:p w:rsidR="00554B23" w:rsidRDefault="00554B23"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524"/>
        </w:tabs>
        <w:ind w:left="1524" w:hanging="390"/>
      </w:pPr>
      <w:rPr>
        <w:rFonts w:hint="default"/>
      </w:rPr>
    </w:lvl>
    <w:lvl w:ilvl="1" w:tplc="04070019" w:tentative="1">
      <w:start w:val="1"/>
      <w:numFmt w:val="lowerLetter"/>
      <w:lvlText w:val="%2."/>
      <w:lvlJc w:val="left"/>
      <w:pPr>
        <w:tabs>
          <w:tab w:val="num" w:pos="2214"/>
        </w:tabs>
        <w:ind w:left="2214" w:hanging="360"/>
      </w:p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6"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534DF"/>
    <w:multiLevelType w:val="hybridMultilevel"/>
    <w:tmpl w:val="6C7EA4F2"/>
    <w:lvl w:ilvl="0" w:tplc="8FCC30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2"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9B6997"/>
    <w:multiLevelType w:val="hybridMultilevel"/>
    <w:tmpl w:val="6D4C991A"/>
    <w:lvl w:ilvl="0" w:tplc="4FCA53F6">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9"/>
  </w:num>
  <w:num w:numId="5">
    <w:abstractNumId w:val="7"/>
  </w:num>
  <w:num w:numId="6">
    <w:abstractNumId w:val="13"/>
  </w:num>
  <w:num w:numId="7">
    <w:abstractNumId w:val="26"/>
  </w:num>
  <w:num w:numId="8">
    <w:abstractNumId w:val="5"/>
  </w:num>
  <w:num w:numId="9">
    <w:abstractNumId w:val="4"/>
  </w:num>
  <w:num w:numId="10">
    <w:abstractNumId w:val="1"/>
  </w:num>
  <w:num w:numId="11">
    <w:abstractNumId w:val="15"/>
  </w:num>
  <w:num w:numId="12">
    <w:abstractNumId w:val="28"/>
  </w:num>
  <w:num w:numId="13">
    <w:abstractNumId w:val="16"/>
  </w:num>
  <w:num w:numId="14">
    <w:abstractNumId w:val="2"/>
  </w:num>
  <w:num w:numId="15">
    <w:abstractNumId w:val="11"/>
  </w:num>
  <w:num w:numId="16">
    <w:abstractNumId w:val="6"/>
  </w:num>
  <w:num w:numId="17">
    <w:abstractNumId w:val="14"/>
  </w:num>
  <w:num w:numId="18">
    <w:abstractNumId w:val="8"/>
  </w:num>
  <w:num w:numId="19">
    <w:abstractNumId w:val="23"/>
  </w:num>
  <w:num w:numId="20">
    <w:abstractNumId w:val="17"/>
  </w:num>
  <w:num w:numId="21">
    <w:abstractNumId w:val="12"/>
  </w:num>
  <w:num w:numId="22">
    <w:abstractNumId w:val="19"/>
  </w:num>
  <w:num w:numId="23">
    <w:abstractNumId w:val="3"/>
  </w:num>
  <w:num w:numId="24">
    <w:abstractNumId w:val="27"/>
  </w:num>
  <w:num w:numId="25">
    <w:abstractNumId w:val="20"/>
  </w:num>
  <w:num w:numId="26">
    <w:abstractNumId w:val="22"/>
  </w:num>
  <w:num w:numId="27">
    <w:abstractNumId w:val="24"/>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5920"/>
    <w:rsid w:val="00005FCB"/>
    <w:rsid w:val="00012954"/>
    <w:rsid w:val="0001506A"/>
    <w:rsid w:val="00016144"/>
    <w:rsid w:val="0001737A"/>
    <w:rsid w:val="000175EB"/>
    <w:rsid w:val="0002537B"/>
    <w:rsid w:val="00034E92"/>
    <w:rsid w:val="00034F4B"/>
    <w:rsid w:val="00036191"/>
    <w:rsid w:val="00036A70"/>
    <w:rsid w:val="00036DEE"/>
    <w:rsid w:val="000373DD"/>
    <w:rsid w:val="00051F7B"/>
    <w:rsid w:val="0005302B"/>
    <w:rsid w:val="00055A50"/>
    <w:rsid w:val="0006395E"/>
    <w:rsid w:val="00065BBA"/>
    <w:rsid w:val="00072106"/>
    <w:rsid w:val="00072C5C"/>
    <w:rsid w:val="00080DF2"/>
    <w:rsid w:val="00092EE9"/>
    <w:rsid w:val="00095540"/>
    <w:rsid w:val="000C0B85"/>
    <w:rsid w:val="000C156E"/>
    <w:rsid w:val="000C4C3E"/>
    <w:rsid w:val="000C5EE4"/>
    <w:rsid w:val="000C730A"/>
    <w:rsid w:val="000D0BF5"/>
    <w:rsid w:val="000D3999"/>
    <w:rsid w:val="000D4486"/>
    <w:rsid w:val="000D6405"/>
    <w:rsid w:val="000E5582"/>
    <w:rsid w:val="001026AF"/>
    <w:rsid w:val="0010379E"/>
    <w:rsid w:val="001060AC"/>
    <w:rsid w:val="001060C3"/>
    <w:rsid w:val="00107B10"/>
    <w:rsid w:val="001155E8"/>
    <w:rsid w:val="001212C1"/>
    <w:rsid w:val="0012528E"/>
    <w:rsid w:val="00125E91"/>
    <w:rsid w:val="00132057"/>
    <w:rsid w:val="00133E88"/>
    <w:rsid w:val="001346E9"/>
    <w:rsid w:val="00152796"/>
    <w:rsid w:val="001550F2"/>
    <w:rsid w:val="001573AB"/>
    <w:rsid w:val="0016019D"/>
    <w:rsid w:val="00162CEA"/>
    <w:rsid w:val="001647D0"/>
    <w:rsid w:val="00165B31"/>
    <w:rsid w:val="0016753C"/>
    <w:rsid w:val="001775CB"/>
    <w:rsid w:val="0019334F"/>
    <w:rsid w:val="001955FB"/>
    <w:rsid w:val="00195AF1"/>
    <w:rsid w:val="001A4D06"/>
    <w:rsid w:val="001A7FCC"/>
    <w:rsid w:val="001B0EE9"/>
    <w:rsid w:val="001B3156"/>
    <w:rsid w:val="001B7653"/>
    <w:rsid w:val="001C5D44"/>
    <w:rsid w:val="001D46D1"/>
    <w:rsid w:val="001D75F6"/>
    <w:rsid w:val="001E78CF"/>
    <w:rsid w:val="0020024C"/>
    <w:rsid w:val="00202052"/>
    <w:rsid w:val="00204B2A"/>
    <w:rsid w:val="0020544E"/>
    <w:rsid w:val="00225296"/>
    <w:rsid w:val="00227358"/>
    <w:rsid w:val="002314EC"/>
    <w:rsid w:val="00243C79"/>
    <w:rsid w:val="0024530B"/>
    <w:rsid w:val="00247283"/>
    <w:rsid w:val="002478AD"/>
    <w:rsid w:val="00250704"/>
    <w:rsid w:val="00254BD5"/>
    <w:rsid w:val="00255658"/>
    <w:rsid w:val="00257787"/>
    <w:rsid w:val="00263E51"/>
    <w:rsid w:val="00266BAD"/>
    <w:rsid w:val="00270B90"/>
    <w:rsid w:val="002800E6"/>
    <w:rsid w:val="00282F65"/>
    <w:rsid w:val="00284052"/>
    <w:rsid w:val="0029263C"/>
    <w:rsid w:val="00296392"/>
    <w:rsid w:val="002A4F1D"/>
    <w:rsid w:val="002B4696"/>
    <w:rsid w:val="002C420A"/>
    <w:rsid w:val="002C46C5"/>
    <w:rsid w:val="002C513E"/>
    <w:rsid w:val="002C61C2"/>
    <w:rsid w:val="002D5A6A"/>
    <w:rsid w:val="002E0575"/>
    <w:rsid w:val="002E1BC8"/>
    <w:rsid w:val="002E2EA1"/>
    <w:rsid w:val="002E5C46"/>
    <w:rsid w:val="002F01D0"/>
    <w:rsid w:val="00312AF6"/>
    <w:rsid w:val="003169C7"/>
    <w:rsid w:val="00321B5E"/>
    <w:rsid w:val="00331292"/>
    <w:rsid w:val="00332296"/>
    <w:rsid w:val="003335FF"/>
    <w:rsid w:val="00341B8C"/>
    <w:rsid w:val="003460BB"/>
    <w:rsid w:val="0035255C"/>
    <w:rsid w:val="0035331A"/>
    <w:rsid w:val="003610D7"/>
    <w:rsid w:val="00362B32"/>
    <w:rsid w:val="003759D7"/>
    <w:rsid w:val="00381457"/>
    <w:rsid w:val="00384983"/>
    <w:rsid w:val="0039178F"/>
    <w:rsid w:val="00392AFD"/>
    <w:rsid w:val="0039482E"/>
    <w:rsid w:val="003A43B7"/>
    <w:rsid w:val="003A54F7"/>
    <w:rsid w:val="003A551D"/>
    <w:rsid w:val="003B2C3F"/>
    <w:rsid w:val="003B2E50"/>
    <w:rsid w:val="003B3675"/>
    <w:rsid w:val="003B3AE9"/>
    <w:rsid w:val="003B7CEB"/>
    <w:rsid w:val="003C2A87"/>
    <w:rsid w:val="003D4505"/>
    <w:rsid w:val="003E1A52"/>
    <w:rsid w:val="003E5254"/>
    <w:rsid w:val="003E74CF"/>
    <w:rsid w:val="003F698C"/>
    <w:rsid w:val="0040200D"/>
    <w:rsid w:val="004239EB"/>
    <w:rsid w:val="00426D8E"/>
    <w:rsid w:val="0045201F"/>
    <w:rsid w:val="00453463"/>
    <w:rsid w:val="00466998"/>
    <w:rsid w:val="00471623"/>
    <w:rsid w:val="00472609"/>
    <w:rsid w:val="00475104"/>
    <w:rsid w:val="00481AB1"/>
    <w:rsid w:val="00485B1F"/>
    <w:rsid w:val="004A61C2"/>
    <w:rsid w:val="004A646D"/>
    <w:rsid w:val="004B71D7"/>
    <w:rsid w:val="004C6E41"/>
    <w:rsid w:val="004C7130"/>
    <w:rsid w:val="004C76D2"/>
    <w:rsid w:val="004C7CEB"/>
    <w:rsid w:val="004D0FC2"/>
    <w:rsid w:val="004D2FA1"/>
    <w:rsid w:val="004D5369"/>
    <w:rsid w:val="004E095F"/>
    <w:rsid w:val="004E488F"/>
    <w:rsid w:val="004E50F0"/>
    <w:rsid w:val="004E5CCB"/>
    <w:rsid w:val="004F0206"/>
    <w:rsid w:val="004F11E8"/>
    <w:rsid w:val="004F184E"/>
    <w:rsid w:val="004F208A"/>
    <w:rsid w:val="004F4B20"/>
    <w:rsid w:val="004F5566"/>
    <w:rsid w:val="004F776F"/>
    <w:rsid w:val="0050017B"/>
    <w:rsid w:val="0050443A"/>
    <w:rsid w:val="00506B24"/>
    <w:rsid w:val="00512734"/>
    <w:rsid w:val="005164C3"/>
    <w:rsid w:val="005204A3"/>
    <w:rsid w:val="005212B7"/>
    <w:rsid w:val="00525B7B"/>
    <w:rsid w:val="00526FB9"/>
    <w:rsid w:val="00533680"/>
    <w:rsid w:val="00536571"/>
    <w:rsid w:val="00536B9A"/>
    <w:rsid w:val="00542F62"/>
    <w:rsid w:val="00554B23"/>
    <w:rsid w:val="00555009"/>
    <w:rsid w:val="00556EFD"/>
    <w:rsid w:val="005614DD"/>
    <w:rsid w:val="0058355D"/>
    <w:rsid w:val="00583B0A"/>
    <w:rsid w:val="0058439F"/>
    <w:rsid w:val="0058461C"/>
    <w:rsid w:val="005875CB"/>
    <w:rsid w:val="00595517"/>
    <w:rsid w:val="005A1DFE"/>
    <w:rsid w:val="005A2869"/>
    <w:rsid w:val="005A58E5"/>
    <w:rsid w:val="005A6FEC"/>
    <w:rsid w:val="005B32C9"/>
    <w:rsid w:val="005B35BE"/>
    <w:rsid w:val="005B60E0"/>
    <w:rsid w:val="005C0B44"/>
    <w:rsid w:val="005C122F"/>
    <w:rsid w:val="005C2105"/>
    <w:rsid w:val="005C3108"/>
    <w:rsid w:val="005C3738"/>
    <w:rsid w:val="005D5819"/>
    <w:rsid w:val="005E0D13"/>
    <w:rsid w:val="005E1770"/>
    <w:rsid w:val="005E1B5B"/>
    <w:rsid w:val="005E58B2"/>
    <w:rsid w:val="005F1EA4"/>
    <w:rsid w:val="005F48EC"/>
    <w:rsid w:val="005F6C42"/>
    <w:rsid w:val="00601A26"/>
    <w:rsid w:val="00603000"/>
    <w:rsid w:val="00603416"/>
    <w:rsid w:val="006054C3"/>
    <w:rsid w:val="00606B56"/>
    <w:rsid w:val="00607536"/>
    <w:rsid w:val="00610C7D"/>
    <w:rsid w:val="00612043"/>
    <w:rsid w:val="00624D7E"/>
    <w:rsid w:val="00632CE3"/>
    <w:rsid w:val="00636CC0"/>
    <w:rsid w:val="006374AA"/>
    <w:rsid w:val="00650D6C"/>
    <w:rsid w:val="00653F48"/>
    <w:rsid w:val="00654D58"/>
    <w:rsid w:val="0065556B"/>
    <w:rsid w:val="006648EF"/>
    <w:rsid w:val="006729F6"/>
    <w:rsid w:val="00677972"/>
    <w:rsid w:val="0068092D"/>
    <w:rsid w:val="006819F4"/>
    <w:rsid w:val="00691255"/>
    <w:rsid w:val="006939C9"/>
    <w:rsid w:val="006B2A5E"/>
    <w:rsid w:val="006B56FB"/>
    <w:rsid w:val="006B614B"/>
    <w:rsid w:val="006C168A"/>
    <w:rsid w:val="006C22BE"/>
    <w:rsid w:val="006C31F2"/>
    <w:rsid w:val="006C515A"/>
    <w:rsid w:val="006D506F"/>
    <w:rsid w:val="006E257D"/>
    <w:rsid w:val="006E2FD4"/>
    <w:rsid w:val="006E34CF"/>
    <w:rsid w:val="006F12FA"/>
    <w:rsid w:val="006F38EB"/>
    <w:rsid w:val="006F3CF2"/>
    <w:rsid w:val="006F4529"/>
    <w:rsid w:val="006F5A6C"/>
    <w:rsid w:val="006F66A2"/>
    <w:rsid w:val="00700B57"/>
    <w:rsid w:val="00705A03"/>
    <w:rsid w:val="00721DEB"/>
    <w:rsid w:val="00722D03"/>
    <w:rsid w:val="00727685"/>
    <w:rsid w:val="00733D73"/>
    <w:rsid w:val="00734C19"/>
    <w:rsid w:val="00740046"/>
    <w:rsid w:val="00741D0A"/>
    <w:rsid w:val="00742342"/>
    <w:rsid w:val="0074594D"/>
    <w:rsid w:val="00752718"/>
    <w:rsid w:val="007712CA"/>
    <w:rsid w:val="007833F1"/>
    <w:rsid w:val="00786E72"/>
    <w:rsid w:val="00790BCD"/>
    <w:rsid w:val="00791C5E"/>
    <w:rsid w:val="00794EC6"/>
    <w:rsid w:val="00794FA7"/>
    <w:rsid w:val="007960C2"/>
    <w:rsid w:val="0079654C"/>
    <w:rsid w:val="00796644"/>
    <w:rsid w:val="007A00ED"/>
    <w:rsid w:val="007A014B"/>
    <w:rsid w:val="007A171C"/>
    <w:rsid w:val="007A1FCE"/>
    <w:rsid w:val="007A646E"/>
    <w:rsid w:val="007B0F74"/>
    <w:rsid w:val="007B187C"/>
    <w:rsid w:val="007C3C64"/>
    <w:rsid w:val="007D1C8E"/>
    <w:rsid w:val="007D1D05"/>
    <w:rsid w:val="007D57A3"/>
    <w:rsid w:val="007E04FB"/>
    <w:rsid w:val="007E347B"/>
    <w:rsid w:val="007E3F06"/>
    <w:rsid w:val="007F4639"/>
    <w:rsid w:val="007F4BF1"/>
    <w:rsid w:val="00802005"/>
    <w:rsid w:val="008047E9"/>
    <w:rsid w:val="0080545B"/>
    <w:rsid w:val="0080659A"/>
    <w:rsid w:val="00806DF7"/>
    <w:rsid w:val="00807677"/>
    <w:rsid w:val="00815EE0"/>
    <w:rsid w:val="00820E10"/>
    <w:rsid w:val="008260AA"/>
    <w:rsid w:val="0083240C"/>
    <w:rsid w:val="00833823"/>
    <w:rsid w:val="00837DBF"/>
    <w:rsid w:val="008402F7"/>
    <w:rsid w:val="00845311"/>
    <w:rsid w:val="00851579"/>
    <w:rsid w:val="008550F8"/>
    <w:rsid w:val="00863582"/>
    <w:rsid w:val="00867D06"/>
    <w:rsid w:val="008727C0"/>
    <w:rsid w:val="00874AFB"/>
    <w:rsid w:val="00880203"/>
    <w:rsid w:val="008807D4"/>
    <w:rsid w:val="008B1749"/>
    <w:rsid w:val="008B730C"/>
    <w:rsid w:val="008C0C61"/>
    <w:rsid w:val="008C1DA1"/>
    <w:rsid w:val="008C726C"/>
    <w:rsid w:val="008E0368"/>
    <w:rsid w:val="008F0008"/>
    <w:rsid w:val="008F029A"/>
    <w:rsid w:val="008F1374"/>
    <w:rsid w:val="008F26FC"/>
    <w:rsid w:val="0091082C"/>
    <w:rsid w:val="00914E4B"/>
    <w:rsid w:val="0092050F"/>
    <w:rsid w:val="00922EAC"/>
    <w:rsid w:val="00925517"/>
    <w:rsid w:val="0093019A"/>
    <w:rsid w:val="00936E77"/>
    <w:rsid w:val="00956139"/>
    <w:rsid w:val="00962A0E"/>
    <w:rsid w:val="00972DDD"/>
    <w:rsid w:val="00980853"/>
    <w:rsid w:val="009813DF"/>
    <w:rsid w:val="0098161F"/>
    <w:rsid w:val="009835C2"/>
    <w:rsid w:val="009A5FF3"/>
    <w:rsid w:val="009B5C39"/>
    <w:rsid w:val="009C1287"/>
    <w:rsid w:val="009C1B08"/>
    <w:rsid w:val="009C7411"/>
    <w:rsid w:val="009D06EE"/>
    <w:rsid w:val="009D59B6"/>
    <w:rsid w:val="009E1E5D"/>
    <w:rsid w:val="009E6272"/>
    <w:rsid w:val="009E7E8E"/>
    <w:rsid w:val="009F00BC"/>
    <w:rsid w:val="009F076E"/>
    <w:rsid w:val="009F09FF"/>
    <w:rsid w:val="009F4193"/>
    <w:rsid w:val="009F6A2E"/>
    <w:rsid w:val="009F7EC0"/>
    <w:rsid w:val="00A12264"/>
    <w:rsid w:val="00A13FFA"/>
    <w:rsid w:val="00A17EBA"/>
    <w:rsid w:val="00A22159"/>
    <w:rsid w:val="00A30DCC"/>
    <w:rsid w:val="00A340CC"/>
    <w:rsid w:val="00A3561B"/>
    <w:rsid w:val="00A36CDC"/>
    <w:rsid w:val="00A43917"/>
    <w:rsid w:val="00A43D49"/>
    <w:rsid w:val="00A43E50"/>
    <w:rsid w:val="00A5107D"/>
    <w:rsid w:val="00A52039"/>
    <w:rsid w:val="00A52E09"/>
    <w:rsid w:val="00A556A5"/>
    <w:rsid w:val="00A57343"/>
    <w:rsid w:val="00A6578D"/>
    <w:rsid w:val="00A674AE"/>
    <w:rsid w:val="00A70514"/>
    <w:rsid w:val="00A73752"/>
    <w:rsid w:val="00A97473"/>
    <w:rsid w:val="00A97F81"/>
    <w:rsid w:val="00AA5520"/>
    <w:rsid w:val="00AA5905"/>
    <w:rsid w:val="00AA7496"/>
    <w:rsid w:val="00AB1E64"/>
    <w:rsid w:val="00AB3646"/>
    <w:rsid w:val="00AB5667"/>
    <w:rsid w:val="00AB7499"/>
    <w:rsid w:val="00AC1182"/>
    <w:rsid w:val="00AC2EC3"/>
    <w:rsid w:val="00AC4564"/>
    <w:rsid w:val="00AC6989"/>
    <w:rsid w:val="00AD1AB1"/>
    <w:rsid w:val="00AD6027"/>
    <w:rsid w:val="00AF1666"/>
    <w:rsid w:val="00AF2FCF"/>
    <w:rsid w:val="00B147FA"/>
    <w:rsid w:val="00B27B89"/>
    <w:rsid w:val="00B30F7D"/>
    <w:rsid w:val="00B32542"/>
    <w:rsid w:val="00B37CC3"/>
    <w:rsid w:val="00B41C63"/>
    <w:rsid w:val="00B43775"/>
    <w:rsid w:val="00B506C1"/>
    <w:rsid w:val="00B5614A"/>
    <w:rsid w:val="00B575AA"/>
    <w:rsid w:val="00B57E68"/>
    <w:rsid w:val="00B618C9"/>
    <w:rsid w:val="00B643B3"/>
    <w:rsid w:val="00B660ED"/>
    <w:rsid w:val="00B679D9"/>
    <w:rsid w:val="00B72868"/>
    <w:rsid w:val="00B7290E"/>
    <w:rsid w:val="00B74481"/>
    <w:rsid w:val="00B77A99"/>
    <w:rsid w:val="00B8480D"/>
    <w:rsid w:val="00B84F97"/>
    <w:rsid w:val="00B9550B"/>
    <w:rsid w:val="00B9599D"/>
    <w:rsid w:val="00BA4009"/>
    <w:rsid w:val="00BB3093"/>
    <w:rsid w:val="00BC1A01"/>
    <w:rsid w:val="00BC1DC8"/>
    <w:rsid w:val="00BD13B4"/>
    <w:rsid w:val="00BE07EE"/>
    <w:rsid w:val="00BE3CB2"/>
    <w:rsid w:val="00BE3E2C"/>
    <w:rsid w:val="00BE7011"/>
    <w:rsid w:val="00BE77C8"/>
    <w:rsid w:val="00BF4EA0"/>
    <w:rsid w:val="00C2454B"/>
    <w:rsid w:val="00C24C14"/>
    <w:rsid w:val="00C300EB"/>
    <w:rsid w:val="00C30A6C"/>
    <w:rsid w:val="00C37D94"/>
    <w:rsid w:val="00C40AC3"/>
    <w:rsid w:val="00C41A6D"/>
    <w:rsid w:val="00C41DA5"/>
    <w:rsid w:val="00C436F4"/>
    <w:rsid w:val="00C516BC"/>
    <w:rsid w:val="00C553C9"/>
    <w:rsid w:val="00C57CD3"/>
    <w:rsid w:val="00C605FA"/>
    <w:rsid w:val="00C73D74"/>
    <w:rsid w:val="00C82421"/>
    <w:rsid w:val="00C87F7E"/>
    <w:rsid w:val="00C9035C"/>
    <w:rsid w:val="00C92494"/>
    <w:rsid w:val="00CA020B"/>
    <w:rsid w:val="00CA10AE"/>
    <w:rsid w:val="00CA4757"/>
    <w:rsid w:val="00CA4F64"/>
    <w:rsid w:val="00CA5619"/>
    <w:rsid w:val="00CB1EC9"/>
    <w:rsid w:val="00CB7BE5"/>
    <w:rsid w:val="00CD64B1"/>
    <w:rsid w:val="00CD7107"/>
    <w:rsid w:val="00CD7B2F"/>
    <w:rsid w:val="00CE355D"/>
    <w:rsid w:val="00D03473"/>
    <w:rsid w:val="00D03E73"/>
    <w:rsid w:val="00D04F4F"/>
    <w:rsid w:val="00D160F0"/>
    <w:rsid w:val="00D16D6E"/>
    <w:rsid w:val="00D17BAB"/>
    <w:rsid w:val="00D200DF"/>
    <w:rsid w:val="00D20DE4"/>
    <w:rsid w:val="00D21657"/>
    <w:rsid w:val="00D2412B"/>
    <w:rsid w:val="00D345A0"/>
    <w:rsid w:val="00D36C3F"/>
    <w:rsid w:val="00D378EB"/>
    <w:rsid w:val="00D4425C"/>
    <w:rsid w:val="00D44C74"/>
    <w:rsid w:val="00D46C08"/>
    <w:rsid w:val="00D5123A"/>
    <w:rsid w:val="00D628A4"/>
    <w:rsid w:val="00D632FB"/>
    <w:rsid w:val="00D6365B"/>
    <w:rsid w:val="00D653E2"/>
    <w:rsid w:val="00D74DE1"/>
    <w:rsid w:val="00D96A55"/>
    <w:rsid w:val="00DA15D7"/>
    <w:rsid w:val="00DA2E8C"/>
    <w:rsid w:val="00DB3F85"/>
    <w:rsid w:val="00DB7E5A"/>
    <w:rsid w:val="00DC13BC"/>
    <w:rsid w:val="00DC27FA"/>
    <w:rsid w:val="00DC42FA"/>
    <w:rsid w:val="00DD1DD6"/>
    <w:rsid w:val="00DD34AC"/>
    <w:rsid w:val="00DD62C5"/>
    <w:rsid w:val="00DE184B"/>
    <w:rsid w:val="00DE661C"/>
    <w:rsid w:val="00DE6C00"/>
    <w:rsid w:val="00DF523A"/>
    <w:rsid w:val="00E01A36"/>
    <w:rsid w:val="00E050E5"/>
    <w:rsid w:val="00E051DA"/>
    <w:rsid w:val="00E10C8F"/>
    <w:rsid w:val="00E10FF2"/>
    <w:rsid w:val="00E139A9"/>
    <w:rsid w:val="00E1601F"/>
    <w:rsid w:val="00E2268B"/>
    <w:rsid w:val="00E333BE"/>
    <w:rsid w:val="00E33CA7"/>
    <w:rsid w:val="00E402E0"/>
    <w:rsid w:val="00E45E21"/>
    <w:rsid w:val="00E50C70"/>
    <w:rsid w:val="00E51836"/>
    <w:rsid w:val="00E53B3D"/>
    <w:rsid w:val="00E5463B"/>
    <w:rsid w:val="00E54829"/>
    <w:rsid w:val="00E55F39"/>
    <w:rsid w:val="00E61FFB"/>
    <w:rsid w:val="00E664EA"/>
    <w:rsid w:val="00E6710C"/>
    <w:rsid w:val="00E704AA"/>
    <w:rsid w:val="00E81961"/>
    <w:rsid w:val="00E82012"/>
    <w:rsid w:val="00E82A78"/>
    <w:rsid w:val="00E82EE9"/>
    <w:rsid w:val="00E8781C"/>
    <w:rsid w:val="00E941E0"/>
    <w:rsid w:val="00E96743"/>
    <w:rsid w:val="00E975BB"/>
    <w:rsid w:val="00EA2128"/>
    <w:rsid w:val="00EA3D57"/>
    <w:rsid w:val="00EB4042"/>
    <w:rsid w:val="00EB5069"/>
    <w:rsid w:val="00EB7335"/>
    <w:rsid w:val="00EC176B"/>
    <w:rsid w:val="00EC6729"/>
    <w:rsid w:val="00ED0873"/>
    <w:rsid w:val="00ED4C8E"/>
    <w:rsid w:val="00EE18FC"/>
    <w:rsid w:val="00EE67C3"/>
    <w:rsid w:val="00EF4428"/>
    <w:rsid w:val="00F07F9F"/>
    <w:rsid w:val="00F13B2D"/>
    <w:rsid w:val="00F15E63"/>
    <w:rsid w:val="00F23543"/>
    <w:rsid w:val="00F3312E"/>
    <w:rsid w:val="00F3476A"/>
    <w:rsid w:val="00F349BF"/>
    <w:rsid w:val="00F3522E"/>
    <w:rsid w:val="00F426B8"/>
    <w:rsid w:val="00F46B69"/>
    <w:rsid w:val="00F540E1"/>
    <w:rsid w:val="00F5727B"/>
    <w:rsid w:val="00F602F6"/>
    <w:rsid w:val="00F628C4"/>
    <w:rsid w:val="00F630B8"/>
    <w:rsid w:val="00F65B8B"/>
    <w:rsid w:val="00F70356"/>
    <w:rsid w:val="00F744EB"/>
    <w:rsid w:val="00F75B2B"/>
    <w:rsid w:val="00F96127"/>
    <w:rsid w:val="00F974CE"/>
    <w:rsid w:val="00FA4F54"/>
    <w:rsid w:val="00FA57C4"/>
    <w:rsid w:val="00FB4844"/>
    <w:rsid w:val="00FC0A83"/>
    <w:rsid w:val="00FC2092"/>
    <w:rsid w:val="00FC4693"/>
    <w:rsid w:val="00FD28BF"/>
    <w:rsid w:val="00FD3A7E"/>
    <w:rsid w:val="00FD5CFC"/>
    <w:rsid w:val="00FD6523"/>
    <w:rsid w:val="00FD702F"/>
    <w:rsid w:val="00FE0F44"/>
    <w:rsid w:val="00FE190E"/>
    <w:rsid w:val="00FE5B13"/>
    <w:rsid w:val="00FE6256"/>
    <w:rsid w:val="00FF0513"/>
    <w:rsid w:val="00FF1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90486-9360-4362-80CC-9FA3CF1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90AA-60B1-4C66-A861-2456FDAE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1893</Words>
  <Characters>11927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Franzisca Hetzer</cp:lastModifiedBy>
  <cp:revision>2</cp:revision>
  <cp:lastPrinted>2020-07-29T14:06:00Z</cp:lastPrinted>
  <dcterms:created xsi:type="dcterms:W3CDTF">2020-08-11T06:14:00Z</dcterms:created>
  <dcterms:modified xsi:type="dcterms:W3CDTF">2020-08-11T06:14:00Z</dcterms:modified>
</cp:coreProperties>
</file>