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CE2C26" w:rsidRPr="001F2382" w:rsidTr="0019106E">
        <w:trPr>
          <w:trHeight w:val="2153"/>
        </w:trPr>
        <w:tc>
          <w:tcPr>
            <w:tcW w:w="5229" w:type="dxa"/>
          </w:tcPr>
          <w:p w:rsidR="00CE2C26" w:rsidRPr="003C2C2F" w:rsidRDefault="00CE2C26" w:rsidP="0019106E">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14:anchorId="1747AD1D" wp14:editId="33C8E28A">
                  <wp:extent cx="1476375" cy="1093241"/>
                  <wp:effectExtent l="0" t="0" r="0" b="0"/>
                  <wp:docPr id="2" name="Grafik 2"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126" cy="1093797"/>
                          </a:xfrm>
                          <a:prstGeom prst="rect">
                            <a:avLst/>
                          </a:prstGeom>
                          <a:noFill/>
                          <a:ln>
                            <a:noFill/>
                          </a:ln>
                        </pic:spPr>
                      </pic:pic>
                    </a:graphicData>
                  </a:graphic>
                </wp:inline>
              </w:drawing>
            </w:r>
          </w:p>
          <w:p w:rsidR="00CE2C26" w:rsidRPr="003C2C2F" w:rsidRDefault="00CE2C26" w:rsidP="0019106E">
            <w:pPr>
              <w:rPr>
                <w:rFonts w:ascii="Trebuchet MS" w:eastAsia="Times New Roman" w:hAnsi="Trebuchet MS"/>
                <w:sz w:val="24"/>
                <w:szCs w:val="24"/>
                <w:lang w:eastAsia="de-DE"/>
              </w:rPr>
            </w:pPr>
          </w:p>
          <w:p w:rsidR="00CE2C26" w:rsidRPr="003C2C2F" w:rsidRDefault="00CE2C26" w:rsidP="0019106E">
            <w:pPr>
              <w:rPr>
                <w:rFonts w:ascii="Trebuchet MS" w:eastAsia="Times New Roman" w:hAnsi="Trebuchet MS"/>
                <w:sz w:val="24"/>
                <w:szCs w:val="24"/>
                <w:lang w:eastAsia="de-DE"/>
              </w:rPr>
            </w:pPr>
          </w:p>
        </w:tc>
        <w:tc>
          <w:tcPr>
            <w:tcW w:w="6211" w:type="dxa"/>
          </w:tcPr>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CE2C26" w:rsidRPr="003C2C2F" w:rsidRDefault="00CE2C26" w:rsidP="0019106E">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53</w:t>
            </w:r>
          </w:p>
          <w:p w:rsidR="00CE2C26" w:rsidRPr="003C2C2F" w:rsidRDefault="00CE2C26" w:rsidP="0019106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CE2C26" w:rsidRPr="003C2C2F" w:rsidRDefault="00CE2C26" w:rsidP="00CE2C26">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0560AACD" wp14:editId="68852A80">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CE2C26" w:rsidRPr="003C2C2F" w:rsidRDefault="00CE2C26" w:rsidP="00CE2C26">
      <w:pPr>
        <w:jc w:val="center"/>
        <w:rPr>
          <w:rFonts w:ascii="Trebuchet MS" w:eastAsia="Times New Roman" w:hAnsi="Trebuchet MS"/>
          <w:b/>
          <w:sz w:val="24"/>
          <w:szCs w:val="32"/>
          <w:lang w:eastAsia="de-DE"/>
        </w:rPr>
      </w:pPr>
    </w:p>
    <w:p w:rsidR="00CE2C26" w:rsidRDefault="00CE2C26" w:rsidP="00CE2C26">
      <w:pPr>
        <w:tabs>
          <w:tab w:val="left" w:pos="454"/>
          <w:tab w:val="left" w:pos="851"/>
        </w:tabs>
        <w:spacing w:line="360" w:lineRule="auto"/>
        <w:rPr>
          <w:rFonts w:ascii="Trebuchet MS" w:eastAsia="Times New Roman" w:hAnsi="Trebuchet MS"/>
          <w:sz w:val="24"/>
          <w:szCs w:val="20"/>
          <w:lang w:eastAsia="de-DE"/>
        </w:rPr>
      </w:pPr>
    </w:p>
    <w:p w:rsidR="00CE2C26" w:rsidRPr="00A278F1" w:rsidRDefault="00CE2C26" w:rsidP="00A278F1">
      <w:pPr>
        <w:tabs>
          <w:tab w:val="left" w:pos="454"/>
          <w:tab w:val="left" w:pos="851"/>
        </w:tabs>
        <w:spacing w:line="360" w:lineRule="auto"/>
        <w:jc w:val="center"/>
        <w:rPr>
          <w:rFonts w:ascii="Trebuchet MS" w:eastAsia="Times New Roman" w:hAnsi="Trebuchet MS"/>
          <w:b/>
          <w:sz w:val="32"/>
          <w:szCs w:val="32"/>
          <w:lang w:eastAsia="de-DE"/>
        </w:rPr>
      </w:pPr>
      <w:r w:rsidRPr="00A278F1">
        <w:rPr>
          <w:rFonts w:ascii="Trebuchet MS" w:eastAsia="Times New Roman" w:hAnsi="Trebuchet MS"/>
          <w:b/>
          <w:sz w:val="32"/>
          <w:szCs w:val="32"/>
          <w:lang w:eastAsia="de-DE"/>
        </w:rPr>
        <w:t>Stellungnahme</w:t>
      </w:r>
    </w:p>
    <w:p w:rsidR="00CE2C26" w:rsidRPr="00EE14C5" w:rsidRDefault="00A278F1" w:rsidP="00CE2C26">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 xml:space="preserve">der </w:t>
      </w:r>
      <w:r w:rsidR="00CE2C26" w:rsidRPr="00EE14C5">
        <w:rPr>
          <w:rFonts w:ascii="Trebuchet MS" w:eastAsia="Times New Roman" w:hAnsi="Trebuchet MS"/>
          <w:b/>
          <w:sz w:val="27"/>
          <w:szCs w:val="27"/>
          <w:lang w:eastAsia="de-DE"/>
        </w:rPr>
        <w:t>Bundesarbeitsgemeinschaft Selbsthilfe von Menschen mit</w:t>
      </w:r>
    </w:p>
    <w:p w:rsidR="00CE2C26" w:rsidRPr="00EE14C5" w:rsidRDefault="00CE2C26" w:rsidP="00CE2C26">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Behinderung</w:t>
      </w:r>
      <w:r w:rsidR="00A278F1">
        <w:rPr>
          <w:rFonts w:ascii="Trebuchet MS" w:eastAsia="Times New Roman" w:hAnsi="Trebuchet MS"/>
          <w:b/>
          <w:sz w:val="27"/>
          <w:szCs w:val="27"/>
          <w:lang w:eastAsia="de-DE"/>
        </w:rPr>
        <w:t>,</w:t>
      </w:r>
      <w:r w:rsidRPr="00EE14C5">
        <w:rPr>
          <w:rFonts w:ascii="Trebuchet MS" w:eastAsia="Times New Roman" w:hAnsi="Trebuchet MS"/>
          <w:b/>
          <w:sz w:val="27"/>
          <w:szCs w:val="27"/>
          <w:lang w:eastAsia="de-DE"/>
        </w:rPr>
        <w:t xml:space="preserve"> chronischer Erkrankung und ihren Angehörigen e. V.</w:t>
      </w:r>
    </w:p>
    <w:p w:rsidR="00CE2C26" w:rsidRPr="00EE14C5" w:rsidRDefault="00CE2C26" w:rsidP="00CE2C26">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CE2C26" w:rsidRPr="00A278F1" w:rsidRDefault="00CE2C26" w:rsidP="00CE2C26">
      <w:pPr>
        <w:tabs>
          <w:tab w:val="left" w:pos="454"/>
          <w:tab w:val="left" w:pos="851"/>
        </w:tabs>
        <w:spacing w:line="360" w:lineRule="auto"/>
        <w:jc w:val="center"/>
        <w:rPr>
          <w:rFonts w:ascii="Trebuchet MS" w:eastAsia="Times New Roman" w:hAnsi="Trebuchet MS"/>
          <w:b/>
          <w:bCs/>
          <w:sz w:val="10"/>
          <w:szCs w:val="10"/>
          <w:lang w:eastAsia="de-DE"/>
        </w:rPr>
      </w:pPr>
    </w:p>
    <w:p w:rsidR="00CE2C26" w:rsidRPr="00EE14C5" w:rsidRDefault="00CE2C26" w:rsidP="00CE2C26">
      <w:pPr>
        <w:tabs>
          <w:tab w:val="left" w:pos="454"/>
          <w:tab w:val="left" w:pos="851"/>
        </w:tabs>
        <w:spacing w:line="360" w:lineRule="auto"/>
        <w:jc w:val="center"/>
        <w:rPr>
          <w:rFonts w:ascii="Trebuchet MS" w:eastAsia="Times New Roman" w:hAnsi="Trebuchet MS"/>
          <w:b/>
          <w:bCs/>
          <w:sz w:val="27"/>
          <w:szCs w:val="27"/>
          <w:lang w:eastAsia="de-DE"/>
        </w:rPr>
      </w:pPr>
      <w:r w:rsidRPr="00EE14C5">
        <w:rPr>
          <w:rFonts w:ascii="Trebuchet MS" w:eastAsia="Times New Roman" w:hAnsi="Trebuchet MS"/>
          <w:b/>
          <w:bCs/>
          <w:sz w:val="27"/>
          <w:szCs w:val="27"/>
          <w:lang w:eastAsia="de-DE"/>
        </w:rPr>
        <w:t>zu</w:t>
      </w:r>
      <w:r>
        <w:rPr>
          <w:rFonts w:ascii="Trebuchet MS" w:eastAsia="Times New Roman" w:hAnsi="Trebuchet MS"/>
          <w:b/>
          <w:bCs/>
          <w:sz w:val="27"/>
          <w:szCs w:val="27"/>
          <w:lang w:eastAsia="de-DE"/>
        </w:rPr>
        <w:t xml:space="preserve">m </w:t>
      </w:r>
    </w:p>
    <w:p w:rsidR="00CE2C26" w:rsidRPr="00A278F1" w:rsidRDefault="00CE2C26" w:rsidP="00CE2C26">
      <w:pPr>
        <w:tabs>
          <w:tab w:val="left" w:pos="454"/>
          <w:tab w:val="left" w:pos="851"/>
        </w:tabs>
        <w:spacing w:line="360" w:lineRule="auto"/>
        <w:jc w:val="center"/>
        <w:rPr>
          <w:rFonts w:ascii="Trebuchet MS" w:eastAsia="Times New Roman" w:hAnsi="Trebuchet MS"/>
          <w:b/>
          <w:bCs/>
          <w:sz w:val="10"/>
          <w:szCs w:val="10"/>
          <w:lang w:eastAsia="de-DE"/>
        </w:rPr>
      </w:pPr>
    </w:p>
    <w:p w:rsidR="00CE2C26" w:rsidRPr="00A278F1" w:rsidRDefault="00CE2C26" w:rsidP="00A278F1">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A278F1">
        <w:rPr>
          <w:rFonts w:ascii="Trebuchet MS" w:eastAsia="Times New Roman" w:hAnsi="Trebuchet MS"/>
          <w:b/>
          <w:sz w:val="27"/>
          <w:szCs w:val="27"/>
          <w:u w:val="single"/>
          <w:lang w:eastAsia="de-DE"/>
        </w:rPr>
        <w:t>Referentenentwurf</w:t>
      </w:r>
    </w:p>
    <w:p w:rsidR="00CE2C26" w:rsidRPr="00A278F1" w:rsidRDefault="00CE2C26" w:rsidP="00A278F1">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r w:rsidRPr="00A278F1">
        <w:rPr>
          <w:rFonts w:ascii="Trebuchet MS" w:eastAsia="Times New Roman" w:hAnsi="Trebuchet MS"/>
          <w:b/>
          <w:sz w:val="27"/>
          <w:szCs w:val="27"/>
          <w:lang w:eastAsia="de-DE"/>
        </w:rPr>
        <w:t>eines Gesetzes zur Verlängerung befristeter Regelungen im Arbeitsförderungsrecht und zur Umsetzung der Richtlinie (EU) 2016/2102 über den barrierefreien Zugang zu den Websites und mobilen Anwendungen öffentlicher Stellen</w:t>
      </w:r>
    </w:p>
    <w:p w:rsidR="00CE2C26" w:rsidRDefault="00CE2C26" w:rsidP="00CE2C26">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CE2C26" w:rsidRPr="00CE2C26" w:rsidRDefault="00CE2C26" w:rsidP="00CE2C26">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CE2C26">
        <w:rPr>
          <w:rFonts w:ascii="Trebuchet MS" w:eastAsia="Times New Roman" w:hAnsi="Trebuchet MS"/>
          <w:b/>
          <w:sz w:val="27"/>
          <w:szCs w:val="27"/>
          <w:u w:val="single"/>
          <w:lang w:eastAsia="de-DE"/>
        </w:rPr>
        <w:t>Az.: IIb4-20001-1</w:t>
      </w:r>
    </w:p>
    <w:p w:rsidR="00CE2C26" w:rsidRPr="00FE1B64" w:rsidRDefault="00CE2C26" w:rsidP="00CE2C26">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473F1A" w:rsidRDefault="00CE2C26" w:rsidP="00473F1A">
      <w:pPr>
        <w:spacing w:after="120" w:line="360" w:lineRule="auto"/>
        <w:jc w:val="both"/>
        <w:rPr>
          <w:rFonts w:ascii="Trebuchet MS" w:hAnsi="Trebuchet MS"/>
          <w:sz w:val="24"/>
          <w:szCs w:val="24"/>
        </w:rPr>
      </w:pPr>
      <w:r w:rsidRPr="00006554">
        <w:rPr>
          <w:rFonts w:ascii="Trebuchet MS" w:hAnsi="Trebuchet MS"/>
          <w:sz w:val="24"/>
          <w:szCs w:val="24"/>
        </w:rPr>
        <w:t>A</w:t>
      </w:r>
      <w:r w:rsidR="007A6599">
        <w:rPr>
          <w:rFonts w:ascii="Trebuchet MS" w:hAnsi="Trebuchet MS"/>
          <w:sz w:val="24"/>
          <w:szCs w:val="24"/>
        </w:rPr>
        <w:t>ngesichts der Kürze der eingeräumten Frist zur Stellungnahme</w:t>
      </w:r>
      <w:r w:rsidR="00631CCE">
        <w:rPr>
          <w:rFonts w:ascii="Trebuchet MS" w:hAnsi="Trebuchet MS"/>
          <w:sz w:val="24"/>
          <w:szCs w:val="24"/>
        </w:rPr>
        <w:t xml:space="preserve"> zum vorliegenden Referentenentwurf</w:t>
      </w:r>
      <w:r w:rsidR="007A6599">
        <w:rPr>
          <w:rFonts w:ascii="Trebuchet MS" w:hAnsi="Trebuchet MS"/>
          <w:sz w:val="24"/>
          <w:szCs w:val="24"/>
        </w:rPr>
        <w:t xml:space="preserve"> </w:t>
      </w:r>
      <w:r w:rsidR="00631CCE">
        <w:rPr>
          <w:rFonts w:ascii="Trebuchet MS" w:hAnsi="Trebuchet MS"/>
          <w:sz w:val="24"/>
          <w:szCs w:val="24"/>
        </w:rPr>
        <w:t>sieht sich</w:t>
      </w:r>
      <w:r w:rsidR="007A6599">
        <w:rPr>
          <w:rFonts w:ascii="Trebuchet MS" w:hAnsi="Trebuchet MS"/>
          <w:sz w:val="24"/>
          <w:szCs w:val="24"/>
        </w:rPr>
        <w:t xml:space="preserve"> die BAG SELBSTHILFE a</w:t>
      </w:r>
      <w:r w:rsidRPr="00006554">
        <w:rPr>
          <w:rFonts w:ascii="Trebuchet MS" w:hAnsi="Trebuchet MS"/>
          <w:sz w:val="24"/>
          <w:szCs w:val="24"/>
        </w:rPr>
        <w:t xml:space="preserve">ls Dachverband von 121 Bundesverbänden der Selbsthilfe chronisch kranker und behinderter Menschen sowie von 13 </w:t>
      </w:r>
      <w:r>
        <w:rPr>
          <w:rFonts w:ascii="Trebuchet MS" w:hAnsi="Trebuchet MS"/>
          <w:sz w:val="24"/>
          <w:szCs w:val="24"/>
        </w:rPr>
        <w:t>Landesarbeitsgemeinschaften</w:t>
      </w:r>
      <w:r w:rsidR="007A6599">
        <w:rPr>
          <w:rFonts w:ascii="Trebuchet MS" w:hAnsi="Trebuchet MS"/>
          <w:sz w:val="24"/>
          <w:szCs w:val="24"/>
        </w:rPr>
        <w:t xml:space="preserve"> </w:t>
      </w:r>
      <w:r w:rsidR="00631CCE">
        <w:rPr>
          <w:rFonts w:ascii="Trebuchet MS" w:hAnsi="Trebuchet MS"/>
          <w:sz w:val="24"/>
          <w:szCs w:val="24"/>
        </w:rPr>
        <w:t>dazu veranlasst,</w:t>
      </w:r>
      <w:r w:rsidR="007A6599">
        <w:rPr>
          <w:rFonts w:ascii="Trebuchet MS" w:hAnsi="Trebuchet MS"/>
          <w:sz w:val="24"/>
          <w:szCs w:val="24"/>
        </w:rPr>
        <w:t xml:space="preserve"> </w:t>
      </w:r>
      <w:r w:rsidR="00631CCE">
        <w:rPr>
          <w:rFonts w:ascii="Trebuchet MS" w:hAnsi="Trebuchet MS"/>
          <w:sz w:val="24"/>
          <w:szCs w:val="24"/>
        </w:rPr>
        <w:t xml:space="preserve">zunächst </w:t>
      </w:r>
      <w:r w:rsidR="007A6599">
        <w:rPr>
          <w:rFonts w:ascii="Trebuchet MS" w:hAnsi="Trebuchet MS"/>
          <w:sz w:val="24"/>
          <w:szCs w:val="24"/>
        </w:rPr>
        <w:t>ihre</w:t>
      </w:r>
      <w:r w:rsidR="004312F9">
        <w:rPr>
          <w:rFonts w:ascii="Trebuchet MS" w:hAnsi="Trebuchet MS"/>
          <w:sz w:val="24"/>
          <w:szCs w:val="24"/>
        </w:rPr>
        <w:t xml:space="preserve"> diesbezügliche</w:t>
      </w:r>
      <w:r w:rsidR="007A6599">
        <w:rPr>
          <w:rFonts w:ascii="Trebuchet MS" w:hAnsi="Trebuchet MS"/>
          <w:sz w:val="24"/>
          <w:szCs w:val="24"/>
        </w:rPr>
        <w:t xml:space="preserve"> Kritik</w:t>
      </w:r>
      <w:r w:rsidR="008B1385">
        <w:rPr>
          <w:rFonts w:ascii="Trebuchet MS" w:hAnsi="Trebuchet MS"/>
          <w:sz w:val="24"/>
          <w:szCs w:val="24"/>
        </w:rPr>
        <w:t xml:space="preserve"> </w:t>
      </w:r>
      <w:r w:rsidR="00631CCE">
        <w:rPr>
          <w:rFonts w:ascii="Trebuchet MS" w:hAnsi="Trebuchet MS"/>
          <w:sz w:val="24"/>
          <w:szCs w:val="24"/>
        </w:rPr>
        <w:t>klar</w:t>
      </w:r>
      <w:r w:rsidR="008B1385">
        <w:rPr>
          <w:rFonts w:ascii="Trebuchet MS" w:hAnsi="Trebuchet MS"/>
          <w:sz w:val="24"/>
          <w:szCs w:val="24"/>
        </w:rPr>
        <w:t xml:space="preserve"> </w:t>
      </w:r>
      <w:r w:rsidR="007A6599">
        <w:rPr>
          <w:rFonts w:ascii="Trebuchet MS" w:hAnsi="Trebuchet MS"/>
          <w:sz w:val="24"/>
          <w:szCs w:val="24"/>
        </w:rPr>
        <w:t xml:space="preserve">zum Ausdruck bringen. </w:t>
      </w:r>
      <w:r w:rsidR="008B1385">
        <w:rPr>
          <w:rFonts w:ascii="Trebuchet MS" w:hAnsi="Trebuchet MS"/>
          <w:sz w:val="24"/>
          <w:szCs w:val="24"/>
        </w:rPr>
        <w:t xml:space="preserve">Partizipation im Sinne der UN-Behindertenrechtskonvention </w:t>
      </w:r>
      <w:r w:rsidR="00631CCE">
        <w:rPr>
          <w:rFonts w:ascii="Trebuchet MS" w:hAnsi="Trebuchet MS"/>
          <w:sz w:val="24"/>
          <w:szCs w:val="24"/>
        </w:rPr>
        <w:t>bedeutet nicht allein die theoretische Möglichkeit zur Beteiligung, vielmehr müssen auch die Rahmenbedingungen für eine echte und gleichberechtigte Teilhabe in Form einer Mitwirkung bzw. Beteiligung</w:t>
      </w:r>
      <w:r w:rsidR="00473F1A">
        <w:rPr>
          <w:rFonts w:ascii="Trebuchet MS" w:hAnsi="Trebuchet MS"/>
          <w:sz w:val="24"/>
          <w:szCs w:val="24"/>
        </w:rPr>
        <w:t xml:space="preserve"> tatsächlich erfüllt sein</w:t>
      </w:r>
      <w:r w:rsidR="00631CCE">
        <w:rPr>
          <w:rFonts w:ascii="Trebuchet MS" w:hAnsi="Trebuchet MS"/>
          <w:sz w:val="24"/>
          <w:szCs w:val="24"/>
        </w:rPr>
        <w:t xml:space="preserve">. Dabei ist </w:t>
      </w:r>
      <w:r w:rsidR="00473F1A">
        <w:rPr>
          <w:rFonts w:ascii="Trebuchet MS" w:hAnsi="Trebuchet MS"/>
          <w:sz w:val="24"/>
          <w:szCs w:val="24"/>
        </w:rPr>
        <w:t>vor allem</w:t>
      </w:r>
      <w:r w:rsidR="00631CCE">
        <w:rPr>
          <w:rFonts w:ascii="Trebuchet MS" w:hAnsi="Trebuchet MS"/>
          <w:sz w:val="24"/>
          <w:szCs w:val="24"/>
        </w:rPr>
        <w:t xml:space="preserve"> zu berücksichtigen, </w:t>
      </w:r>
      <w:r w:rsidR="008B1385">
        <w:rPr>
          <w:rFonts w:ascii="Trebuchet MS" w:hAnsi="Trebuchet MS"/>
          <w:sz w:val="24"/>
          <w:szCs w:val="24"/>
        </w:rPr>
        <w:t xml:space="preserve">dass viele Betroffenen aufgrund ihrer gesundheitlichen Einschränkung für </w:t>
      </w:r>
      <w:r w:rsidR="00473F1A">
        <w:rPr>
          <w:rFonts w:ascii="Trebuchet MS" w:hAnsi="Trebuchet MS"/>
          <w:sz w:val="24"/>
          <w:szCs w:val="24"/>
        </w:rPr>
        <w:t xml:space="preserve">ihre </w:t>
      </w:r>
      <w:r w:rsidR="004312F9">
        <w:rPr>
          <w:rFonts w:ascii="Trebuchet MS" w:hAnsi="Trebuchet MS"/>
          <w:sz w:val="24"/>
          <w:szCs w:val="24"/>
        </w:rPr>
        <w:t>partizipative Mitwirkung</w:t>
      </w:r>
      <w:r w:rsidR="00473F1A">
        <w:rPr>
          <w:rFonts w:ascii="Trebuchet MS" w:hAnsi="Trebuchet MS"/>
          <w:sz w:val="24"/>
          <w:szCs w:val="24"/>
        </w:rPr>
        <w:t xml:space="preserve"> (etwa das </w:t>
      </w:r>
      <w:r w:rsidR="00473F1A">
        <w:rPr>
          <w:rFonts w:ascii="Trebuchet MS" w:hAnsi="Trebuchet MS"/>
          <w:sz w:val="24"/>
          <w:szCs w:val="24"/>
        </w:rPr>
        <w:lastRenderedPageBreak/>
        <w:t>Verfassen einer Stellungnahme)</w:t>
      </w:r>
      <w:r w:rsidR="004312F9">
        <w:rPr>
          <w:rFonts w:ascii="Trebuchet MS" w:hAnsi="Trebuchet MS"/>
          <w:sz w:val="24"/>
          <w:szCs w:val="24"/>
        </w:rPr>
        <w:t xml:space="preserve"> </w:t>
      </w:r>
      <w:r w:rsidR="00631CCE">
        <w:rPr>
          <w:rFonts w:ascii="Trebuchet MS" w:hAnsi="Trebuchet MS"/>
          <w:sz w:val="24"/>
          <w:szCs w:val="24"/>
        </w:rPr>
        <w:t xml:space="preserve">mehr Zeit </w:t>
      </w:r>
      <w:r w:rsidR="004312F9">
        <w:rPr>
          <w:rFonts w:ascii="Trebuchet MS" w:hAnsi="Trebuchet MS"/>
          <w:sz w:val="24"/>
          <w:szCs w:val="24"/>
        </w:rPr>
        <w:t>benötigen als Nichtbehinderte</w:t>
      </w:r>
      <w:r w:rsidR="00473F1A">
        <w:rPr>
          <w:rFonts w:ascii="Trebuchet MS" w:hAnsi="Trebuchet MS"/>
          <w:sz w:val="24"/>
          <w:szCs w:val="24"/>
        </w:rPr>
        <w:t xml:space="preserve"> für die gleiche Aufgabe oder Tätigkeit</w:t>
      </w:r>
      <w:r w:rsidR="00961789">
        <w:rPr>
          <w:rFonts w:ascii="Trebuchet MS" w:hAnsi="Trebuchet MS"/>
          <w:sz w:val="24"/>
          <w:szCs w:val="24"/>
        </w:rPr>
        <w:t>.</w:t>
      </w:r>
      <w:r w:rsidR="00631CCE">
        <w:rPr>
          <w:rFonts w:ascii="Trebuchet MS" w:hAnsi="Trebuchet MS"/>
          <w:sz w:val="24"/>
          <w:szCs w:val="24"/>
        </w:rPr>
        <w:t xml:space="preserve"> Im Übrigen ist zu beachten</w:t>
      </w:r>
      <w:r w:rsidR="00961789">
        <w:rPr>
          <w:rFonts w:ascii="Trebuchet MS" w:hAnsi="Trebuchet MS"/>
          <w:sz w:val="24"/>
          <w:szCs w:val="24"/>
        </w:rPr>
        <w:t>, dass viele Selbsthilfehilfeorganisationen</w:t>
      </w:r>
      <w:r w:rsidR="00631CCE">
        <w:rPr>
          <w:rFonts w:ascii="Trebuchet MS" w:hAnsi="Trebuchet MS"/>
          <w:sz w:val="24"/>
          <w:szCs w:val="24"/>
        </w:rPr>
        <w:t xml:space="preserve"> rein ehrenamtlich geführt werden und</w:t>
      </w:r>
      <w:r w:rsidR="00961789">
        <w:rPr>
          <w:rFonts w:ascii="Trebuchet MS" w:hAnsi="Trebuchet MS"/>
          <w:sz w:val="24"/>
          <w:szCs w:val="24"/>
        </w:rPr>
        <w:t xml:space="preserve"> über keine hauptamtlichen Mitarbeiter verfügen</w:t>
      </w:r>
      <w:r w:rsidR="00631CCE">
        <w:rPr>
          <w:rFonts w:ascii="Trebuchet MS" w:hAnsi="Trebuchet MS"/>
          <w:sz w:val="24"/>
          <w:szCs w:val="24"/>
        </w:rPr>
        <w:t>. Für sie ist es daher nahezu unmöglich, in einem</w:t>
      </w:r>
      <w:r w:rsidR="00FB6BB5">
        <w:rPr>
          <w:rFonts w:ascii="Trebuchet MS" w:hAnsi="Trebuchet MS"/>
          <w:sz w:val="24"/>
          <w:szCs w:val="24"/>
        </w:rPr>
        <w:t xml:space="preserve"> kurzen</w:t>
      </w:r>
      <w:r w:rsidR="00631CCE">
        <w:rPr>
          <w:rFonts w:ascii="Trebuchet MS" w:hAnsi="Trebuchet MS"/>
          <w:sz w:val="24"/>
          <w:szCs w:val="24"/>
        </w:rPr>
        <w:t xml:space="preserve"> Beteiligungsverfahren wie dem vorliegenden, </w:t>
      </w:r>
      <w:r w:rsidR="00473F1A">
        <w:rPr>
          <w:rFonts w:ascii="Trebuchet MS" w:hAnsi="Trebuchet MS"/>
          <w:sz w:val="24"/>
          <w:szCs w:val="24"/>
        </w:rPr>
        <w:t xml:space="preserve">sich </w:t>
      </w:r>
      <w:r w:rsidR="00631CCE">
        <w:rPr>
          <w:rFonts w:ascii="Trebuchet MS" w:hAnsi="Trebuchet MS"/>
          <w:sz w:val="24"/>
          <w:szCs w:val="24"/>
        </w:rPr>
        <w:t xml:space="preserve">hinreichend </w:t>
      </w:r>
      <w:r w:rsidR="00473F1A">
        <w:rPr>
          <w:rFonts w:ascii="Trebuchet MS" w:hAnsi="Trebuchet MS"/>
          <w:sz w:val="24"/>
          <w:szCs w:val="24"/>
        </w:rPr>
        <w:t xml:space="preserve">über den Inhalt der geplanten Neuregelungen zu informieren und sich dann </w:t>
      </w:r>
      <w:r w:rsidR="00FB6BB5">
        <w:rPr>
          <w:rFonts w:ascii="Trebuchet MS" w:hAnsi="Trebuchet MS"/>
          <w:sz w:val="24"/>
          <w:szCs w:val="24"/>
        </w:rPr>
        <w:t xml:space="preserve">hierzu </w:t>
      </w:r>
      <w:r w:rsidR="00473F1A">
        <w:rPr>
          <w:rFonts w:ascii="Trebuchet MS" w:hAnsi="Trebuchet MS"/>
          <w:sz w:val="24"/>
          <w:szCs w:val="24"/>
        </w:rPr>
        <w:t xml:space="preserve">zu positionieren. </w:t>
      </w:r>
    </w:p>
    <w:p w:rsidR="007A6599" w:rsidRDefault="00473F1A" w:rsidP="00473F1A">
      <w:pPr>
        <w:spacing w:after="120" w:line="360" w:lineRule="auto"/>
        <w:jc w:val="both"/>
        <w:rPr>
          <w:rFonts w:ascii="Trebuchet MS" w:hAnsi="Trebuchet MS"/>
          <w:sz w:val="24"/>
          <w:szCs w:val="24"/>
        </w:rPr>
      </w:pPr>
      <w:r>
        <w:rPr>
          <w:rFonts w:ascii="Trebuchet MS" w:hAnsi="Trebuchet MS"/>
          <w:sz w:val="24"/>
          <w:szCs w:val="24"/>
        </w:rPr>
        <w:t xml:space="preserve">Dementsprechend war es auch uns als Dachverband nicht möglich, im Vorfeld </w:t>
      </w:r>
      <w:r w:rsidR="00FB6BB5">
        <w:rPr>
          <w:rFonts w:ascii="Trebuchet MS" w:hAnsi="Trebuchet MS"/>
          <w:sz w:val="24"/>
          <w:szCs w:val="24"/>
        </w:rPr>
        <w:t xml:space="preserve">– wie sonst üblich – </w:t>
      </w:r>
      <w:r>
        <w:rPr>
          <w:rFonts w:ascii="Trebuchet MS" w:hAnsi="Trebuchet MS"/>
          <w:sz w:val="24"/>
          <w:szCs w:val="24"/>
        </w:rPr>
        <w:t>bei unseren Mitgliedsverbänden ihre Einschätzung zum R</w:t>
      </w:r>
      <w:r w:rsidR="00FB6BB5">
        <w:rPr>
          <w:rFonts w:ascii="Trebuchet MS" w:hAnsi="Trebuchet MS"/>
          <w:sz w:val="24"/>
          <w:szCs w:val="24"/>
        </w:rPr>
        <w:t>eferentenentwurf einzuholen</w:t>
      </w:r>
      <w:r w:rsidR="00187AC9">
        <w:rPr>
          <w:rFonts w:ascii="Trebuchet MS" w:hAnsi="Trebuchet MS"/>
          <w:sz w:val="24"/>
          <w:szCs w:val="24"/>
        </w:rPr>
        <w:t>, die wir dann in unserer Stellungnahme wiedergeben.</w:t>
      </w:r>
    </w:p>
    <w:p w:rsidR="007A6599" w:rsidRDefault="007A6599" w:rsidP="00473F1A">
      <w:pPr>
        <w:spacing w:after="120" w:line="360" w:lineRule="auto"/>
        <w:jc w:val="both"/>
        <w:rPr>
          <w:rFonts w:ascii="Trebuchet MS" w:hAnsi="Trebuchet MS"/>
          <w:sz w:val="24"/>
          <w:szCs w:val="24"/>
        </w:rPr>
      </w:pPr>
    </w:p>
    <w:p w:rsidR="00187AC9" w:rsidRDefault="00187AC9" w:rsidP="00473F1A">
      <w:pPr>
        <w:spacing w:after="120" w:line="360" w:lineRule="auto"/>
        <w:jc w:val="both"/>
        <w:rPr>
          <w:rFonts w:ascii="Trebuchet MS" w:hAnsi="Trebuchet MS"/>
          <w:sz w:val="24"/>
          <w:szCs w:val="24"/>
        </w:rPr>
      </w:pPr>
    </w:p>
    <w:p w:rsidR="00187AC9" w:rsidRDefault="00187AC9" w:rsidP="00187AC9">
      <w:pPr>
        <w:spacing w:after="120" w:line="360" w:lineRule="auto"/>
        <w:jc w:val="both"/>
        <w:rPr>
          <w:rFonts w:ascii="Trebuchet MS" w:hAnsi="Trebuchet MS"/>
          <w:sz w:val="24"/>
          <w:szCs w:val="24"/>
        </w:rPr>
      </w:pPr>
      <w:r>
        <w:rPr>
          <w:rFonts w:ascii="Trebuchet MS" w:hAnsi="Trebuchet MS"/>
          <w:sz w:val="24"/>
          <w:szCs w:val="24"/>
        </w:rPr>
        <w:t xml:space="preserve">Die nachfolgenden Anmerkungen beziehen sich ausschließlich auf die im Entwurf unter Artikel 3 aufgeführten </w:t>
      </w:r>
      <w:r w:rsidR="00473F1A">
        <w:rPr>
          <w:rFonts w:ascii="Trebuchet MS" w:hAnsi="Trebuchet MS"/>
          <w:sz w:val="24"/>
          <w:szCs w:val="24"/>
        </w:rPr>
        <w:t>Änderungen des Behindertengleichstellungsgesetzes (BGG)</w:t>
      </w:r>
      <w:r>
        <w:rPr>
          <w:rFonts w:ascii="Trebuchet MS" w:hAnsi="Trebuchet MS"/>
          <w:sz w:val="24"/>
          <w:szCs w:val="24"/>
        </w:rPr>
        <w:t>.</w:t>
      </w:r>
      <w:r w:rsidR="00FB6BB5">
        <w:rPr>
          <w:rFonts w:ascii="Trebuchet MS" w:hAnsi="Trebuchet MS"/>
          <w:sz w:val="24"/>
          <w:szCs w:val="24"/>
        </w:rPr>
        <w:t xml:space="preserve"> </w:t>
      </w:r>
      <w:r>
        <w:rPr>
          <w:rFonts w:ascii="Trebuchet MS" w:hAnsi="Trebuchet MS"/>
          <w:sz w:val="24"/>
          <w:szCs w:val="24"/>
        </w:rPr>
        <w:t xml:space="preserve">Hierzu ist zunächst zu betonen, dass die BAG SELBSTHILFE es bedauert, wenn der Gesetzgeber nicht die Möglichkeit nutzt, wenigstens im Bereich der digitalen Informationstechnik eine Verpflichtung zur barrierefreien Gestaltung auch für private Anbieter von Waren und Dienstleistungen vorzusehen. Gerade große Unternehmen bieten Waren und Dienstleistungen oder zumindest Informationen hierzu auch oder sogar ausschließlich online an. Besonders </w:t>
      </w:r>
      <w:r w:rsidR="005C0F4E">
        <w:rPr>
          <w:rFonts w:ascii="Trebuchet MS" w:hAnsi="Trebuchet MS"/>
          <w:sz w:val="24"/>
          <w:szCs w:val="24"/>
        </w:rPr>
        <w:t>gravierende</w:t>
      </w:r>
      <w:r>
        <w:rPr>
          <w:rFonts w:ascii="Trebuchet MS" w:hAnsi="Trebuchet MS"/>
          <w:sz w:val="24"/>
          <w:szCs w:val="24"/>
        </w:rPr>
        <w:t xml:space="preserve"> Auswirkungen hat diese </w:t>
      </w:r>
      <w:r w:rsidR="005C0F4E">
        <w:rPr>
          <w:rFonts w:ascii="Trebuchet MS" w:hAnsi="Trebuchet MS"/>
          <w:sz w:val="24"/>
          <w:szCs w:val="24"/>
        </w:rPr>
        <w:t>Entwicklung</w:t>
      </w:r>
      <w:r>
        <w:rPr>
          <w:rFonts w:ascii="Trebuchet MS" w:hAnsi="Trebuchet MS"/>
          <w:sz w:val="24"/>
          <w:szCs w:val="24"/>
        </w:rPr>
        <w:t xml:space="preserve"> in den Fällen, in denen damit eine wichtige Versorgung verbunden ist, etwa bei Banken, Versicherungen, Energieversorgern o.a</w:t>
      </w:r>
      <w:proofErr w:type="gramStart"/>
      <w:r>
        <w:rPr>
          <w:rFonts w:ascii="Trebuchet MS" w:hAnsi="Trebuchet MS"/>
          <w:sz w:val="24"/>
          <w:szCs w:val="24"/>
        </w:rPr>
        <w:t>..</w:t>
      </w:r>
      <w:proofErr w:type="gramEnd"/>
      <w:r>
        <w:rPr>
          <w:rFonts w:ascii="Trebuchet MS" w:hAnsi="Trebuchet MS"/>
          <w:sz w:val="24"/>
          <w:szCs w:val="24"/>
        </w:rPr>
        <w:t xml:space="preserve"> Hier wäre es mehr als wünschenswert, wenn der Gesetzgeber zumindest auch diese privaten Anbieter zu einer barrierefreien Ausgestaltung ihrer digitalen Angebote </w:t>
      </w:r>
      <w:r w:rsidR="005C0F4E">
        <w:rPr>
          <w:rFonts w:ascii="Trebuchet MS" w:hAnsi="Trebuchet MS"/>
          <w:sz w:val="24"/>
          <w:szCs w:val="24"/>
        </w:rPr>
        <w:t>verpflichtet. Dies entspräche nicht nur der Vorgabe in Artikel 9 der UN-Behindertenrechtskonvention, sondern auch der der jetzigen Änderung des BGG zugrunde liegenden Richtlinie (EU) 2016 2016/2102.</w:t>
      </w:r>
    </w:p>
    <w:p w:rsidR="005C0F4E" w:rsidRDefault="005C0F4E" w:rsidP="00187AC9">
      <w:pPr>
        <w:spacing w:after="120" w:line="360" w:lineRule="auto"/>
        <w:jc w:val="both"/>
        <w:rPr>
          <w:rFonts w:ascii="Trebuchet MS" w:hAnsi="Trebuchet MS"/>
          <w:sz w:val="24"/>
          <w:szCs w:val="24"/>
        </w:rPr>
      </w:pPr>
      <w:r>
        <w:rPr>
          <w:rFonts w:ascii="Trebuchet MS" w:hAnsi="Trebuchet MS"/>
          <w:sz w:val="24"/>
          <w:szCs w:val="24"/>
        </w:rPr>
        <w:t>Dessen ungeachtet nehmen wir zu den einzelnen geplanten Neuregelungen bei Artikel 3 wie folgt Stellung:</w:t>
      </w:r>
    </w:p>
    <w:p w:rsidR="00562466" w:rsidRDefault="00562466" w:rsidP="00473F1A">
      <w:pPr>
        <w:spacing w:after="120" w:line="360" w:lineRule="auto"/>
        <w:jc w:val="both"/>
        <w:rPr>
          <w:rFonts w:ascii="Trebuchet MS" w:hAnsi="Trebuchet MS"/>
          <w:sz w:val="24"/>
          <w:szCs w:val="24"/>
        </w:rPr>
      </w:pPr>
    </w:p>
    <w:p w:rsidR="00562466" w:rsidRPr="00E920AF" w:rsidRDefault="00562466" w:rsidP="00473F1A">
      <w:pPr>
        <w:spacing w:after="120" w:line="360" w:lineRule="auto"/>
        <w:jc w:val="both"/>
        <w:rPr>
          <w:rFonts w:ascii="Trebuchet MS" w:hAnsi="Trebuchet MS"/>
          <w:b/>
          <w:sz w:val="24"/>
          <w:szCs w:val="24"/>
        </w:rPr>
      </w:pPr>
      <w:r w:rsidRPr="00E920AF">
        <w:rPr>
          <w:rFonts w:ascii="Trebuchet MS" w:hAnsi="Trebuchet MS"/>
          <w:b/>
          <w:sz w:val="24"/>
          <w:szCs w:val="24"/>
        </w:rPr>
        <w:lastRenderedPageBreak/>
        <w:t>§ 12</w:t>
      </w:r>
      <w:r w:rsidR="004D5B3A" w:rsidRPr="00E920AF">
        <w:rPr>
          <w:rFonts w:ascii="Trebuchet MS" w:hAnsi="Trebuchet MS"/>
          <w:b/>
          <w:sz w:val="24"/>
          <w:szCs w:val="24"/>
        </w:rPr>
        <w:t xml:space="preserve"> BGG-E - Öffentliche Stellen des Bundes</w:t>
      </w:r>
    </w:p>
    <w:p w:rsidR="00E920AF" w:rsidRDefault="004D5B3A" w:rsidP="00473F1A">
      <w:pPr>
        <w:spacing w:after="120" w:line="360" w:lineRule="auto"/>
        <w:jc w:val="both"/>
        <w:rPr>
          <w:rFonts w:ascii="Trebuchet MS" w:hAnsi="Trebuchet MS"/>
          <w:sz w:val="24"/>
          <w:szCs w:val="24"/>
        </w:rPr>
      </w:pPr>
      <w:r>
        <w:rPr>
          <w:rFonts w:ascii="Trebuchet MS" w:hAnsi="Trebuchet MS"/>
          <w:sz w:val="24"/>
          <w:szCs w:val="24"/>
        </w:rPr>
        <w:t xml:space="preserve">Die </w:t>
      </w:r>
      <w:r w:rsidR="00AD2966">
        <w:rPr>
          <w:rFonts w:ascii="Trebuchet MS" w:hAnsi="Trebuchet MS"/>
          <w:sz w:val="24"/>
          <w:szCs w:val="24"/>
        </w:rPr>
        <w:t>Darstellung</w:t>
      </w:r>
      <w:r>
        <w:rPr>
          <w:rFonts w:ascii="Trebuchet MS" w:hAnsi="Trebuchet MS"/>
          <w:sz w:val="24"/>
          <w:szCs w:val="24"/>
        </w:rPr>
        <w:t xml:space="preserve"> in § 12, wer öffentliche Stelle des Bundes ist bzw. wer diesen Stellen zuzurechnen ist oder als solche gilt, </w:t>
      </w:r>
      <w:r w:rsidR="00AD2966">
        <w:rPr>
          <w:rFonts w:ascii="Trebuchet MS" w:hAnsi="Trebuchet MS"/>
          <w:sz w:val="24"/>
          <w:szCs w:val="24"/>
        </w:rPr>
        <w:t>ist</w:t>
      </w:r>
      <w:r>
        <w:rPr>
          <w:rFonts w:ascii="Trebuchet MS" w:hAnsi="Trebuchet MS"/>
          <w:sz w:val="24"/>
          <w:szCs w:val="24"/>
        </w:rPr>
        <w:t xml:space="preserve"> </w:t>
      </w:r>
      <w:r w:rsidR="005C0F4E">
        <w:rPr>
          <w:rFonts w:ascii="Trebuchet MS" w:hAnsi="Trebuchet MS"/>
          <w:sz w:val="24"/>
          <w:szCs w:val="24"/>
        </w:rPr>
        <w:t xml:space="preserve">nach unserer Auffassung </w:t>
      </w:r>
      <w:r>
        <w:rPr>
          <w:rFonts w:ascii="Trebuchet MS" w:hAnsi="Trebuchet MS"/>
          <w:sz w:val="24"/>
          <w:szCs w:val="24"/>
        </w:rPr>
        <w:t xml:space="preserve">zu eng gegriffen. </w:t>
      </w:r>
      <w:r w:rsidR="00AD2966">
        <w:rPr>
          <w:rFonts w:ascii="Trebuchet MS" w:hAnsi="Trebuchet MS"/>
          <w:sz w:val="24"/>
          <w:szCs w:val="24"/>
        </w:rPr>
        <w:t xml:space="preserve">Soweit </w:t>
      </w:r>
      <w:r w:rsidR="00E920AF">
        <w:rPr>
          <w:rFonts w:ascii="Trebuchet MS" w:hAnsi="Trebuchet MS"/>
          <w:sz w:val="24"/>
          <w:szCs w:val="24"/>
        </w:rPr>
        <w:t xml:space="preserve">sich </w:t>
      </w:r>
      <w:r w:rsidR="00AD2966">
        <w:rPr>
          <w:rFonts w:ascii="Trebuchet MS" w:hAnsi="Trebuchet MS"/>
          <w:sz w:val="24"/>
          <w:szCs w:val="24"/>
        </w:rPr>
        <w:t>der Bund in einem nicht nur geringfügigen Umfang</w:t>
      </w:r>
      <w:r w:rsidR="00E920AF">
        <w:rPr>
          <w:rFonts w:ascii="Trebuchet MS" w:hAnsi="Trebuchet MS"/>
          <w:sz w:val="24"/>
          <w:szCs w:val="24"/>
        </w:rPr>
        <w:t>, ggf. sogar dauerhaft,</w:t>
      </w:r>
      <w:r w:rsidR="00AD2966">
        <w:rPr>
          <w:rFonts w:ascii="Trebuchet MS" w:hAnsi="Trebuchet MS"/>
          <w:sz w:val="24"/>
          <w:szCs w:val="24"/>
        </w:rPr>
        <w:t xml:space="preserve"> an einer Einrichtung</w:t>
      </w:r>
      <w:r w:rsidR="00E920AF">
        <w:rPr>
          <w:rFonts w:ascii="Trebuchet MS" w:hAnsi="Trebuchet MS"/>
          <w:sz w:val="24"/>
          <w:szCs w:val="24"/>
        </w:rPr>
        <w:t xml:space="preserve"> oder einem Unternehmen beteiligt (etwa als Anteilseigner), müssen auch für diese betreffende Stelle die gesetzlichen Vorgaben gelten, die für alle anderen öffentlichen Stellen dienen. Das gilt insbesondere für bauliche Erfordernisse, aber auch darüber hinausgehend für alle Aspekte der Barrierefreiheit. </w:t>
      </w:r>
      <w:r w:rsidR="005C0F4E">
        <w:rPr>
          <w:rFonts w:ascii="Trebuchet MS" w:hAnsi="Trebuchet MS"/>
          <w:sz w:val="24"/>
          <w:szCs w:val="24"/>
        </w:rPr>
        <w:t>Vor allem die Festlegung einer Finanzierung von 50 Prozent der Gesamtheit der Mittel als „Grenzwert“ erscheint bei weitem zu hoch und überdies willkürlich.</w:t>
      </w:r>
    </w:p>
    <w:p w:rsidR="00562466" w:rsidRDefault="00E920AF" w:rsidP="00473F1A">
      <w:pPr>
        <w:spacing w:after="120" w:line="360" w:lineRule="auto"/>
        <w:jc w:val="both"/>
        <w:rPr>
          <w:rFonts w:ascii="Trebuchet MS" w:hAnsi="Trebuchet MS"/>
          <w:sz w:val="24"/>
          <w:szCs w:val="24"/>
        </w:rPr>
      </w:pPr>
      <w:r>
        <w:rPr>
          <w:rFonts w:ascii="Trebuchet MS" w:hAnsi="Trebuchet MS"/>
          <w:sz w:val="24"/>
          <w:szCs w:val="24"/>
        </w:rPr>
        <w:t xml:space="preserve">Darüber hinaus werden von der im Entwurf enthaltenen Definition beispielsweise auch nicht </w:t>
      </w:r>
      <w:r w:rsidR="001F36A8">
        <w:rPr>
          <w:rFonts w:ascii="Trebuchet MS" w:hAnsi="Trebuchet MS"/>
          <w:sz w:val="24"/>
          <w:szCs w:val="24"/>
        </w:rPr>
        <w:t xml:space="preserve">alle </w:t>
      </w:r>
      <w:r>
        <w:rPr>
          <w:rFonts w:ascii="Trebuchet MS" w:hAnsi="Trebuchet MS"/>
          <w:sz w:val="24"/>
          <w:szCs w:val="24"/>
        </w:rPr>
        <w:t>Gerichte erfasst</w:t>
      </w:r>
      <w:r w:rsidR="005C0F4E">
        <w:rPr>
          <w:rFonts w:ascii="Trebuchet MS" w:hAnsi="Trebuchet MS"/>
          <w:sz w:val="24"/>
          <w:szCs w:val="24"/>
        </w:rPr>
        <w:t>, das gleiche gilt für</w:t>
      </w:r>
      <w:r>
        <w:rPr>
          <w:rFonts w:ascii="Trebuchet MS" w:hAnsi="Trebuchet MS"/>
          <w:sz w:val="24"/>
          <w:szCs w:val="24"/>
        </w:rPr>
        <w:t xml:space="preserve"> Auslandsvertretungen des Bundes, für die bislang keine Verpflichtung zur Schaffung von Barrierefreiheit besteht.</w:t>
      </w:r>
      <w:r w:rsidR="005C0F4E">
        <w:rPr>
          <w:rFonts w:ascii="Trebuchet MS" w:hAnsi="Trebuchet MS"/>
          <w:sz w:val="24"/>
          <w:szCs w:val="24"/>
        </w:rPr>
        <w:t xml:space="preserve"> Auch hier wäre eine ausdrückliche Einbeziehung erforderlich.</w:t>
      </w:r>
    </w:p>
    <w:p w:rsidR="00EA7263" w:rsidRDefault="00EA7263" w:rsidP="00473F1A">
      <w:pPr>
        <w:spacing w:after="120" w:line="360" w:lineRule="auto"/>
        <w:jc w:val="both"/>
        <w:rPr>
          <w:rFonts w:ascii="Trebuchet MS" w:hAnsi="Trebuchet MS"/>
          <w:b/>
          <w:sz w:val="24"/>
          <w:szCs w:val="24"/>
        </w:rPr>
      </w:pPr>
    </w:p>
    <w:p w:rsidR="00562466" w:rsidRPr="001F36A8" w:rsidRDefault="00562466" w:rsidP="00473F1A">
      <w:pPr>
        <w:spacing w:after="120" w:line="360" w:lineRule="auto"/>
        <w:jc w:val="both"/>
        <w:rPr>
          <w:rFonts w:ascii="Trebuchet MS" w:hAnsi="Trebuchet MS"/>
          <w:b/>
          <w:sz w:val="24"/>
          <w:szCs w:val="24"/>
        </w:rPr>
      </w:pPr>
      <w:r w:rsidRPr="001F36A8">
        <w:rPr>
          <w:rFonts w:ascii="Trebuchet MS" w:hAnsi="Trebuchet MS"/>
          <w:b/>
          <w:sz w:val="24"/>
          <w:szCs w:val="24"/>
        </w:rPr>
        <w:t>§ 12a</w:t>
      </w:r>
      <w:r w:rsidR="001F36A8" w:rsidRPr="001F36A8">
        <w:rPr>
          <w:rFonts w:ascii="Trebuchet MS" w:hAnsi="Trebuchet MS"/>
          <w:b/>
          <w:sz w:val="24"/>
          <w:szCs w:val="24"/>
        </w:rPr>
        <w:t xml:space="preserve"> BGG-E – </w:t>
      </w:r>
      <w:r w:rsidR="001F36A8">
        <w:rPr>
          <w:rFonts w:ascii="Trebuchet MS" w:hAnsi="Trebuchet MS"/>
          <w:b/>
          <w:sz w:val="24"/>
          <w:szCs w:val="24"/>
        </w:rPr>
        <w:t>Barrierefreie Informationstechnik öffentlicher Stellen des Bundes</w:t>
      </w:r>
    </w:p>
    <w:p w:rsidR="00FB6BB5" w:rsidRDefault="001F36A8" w:rsidP="00473F1A">
      <w:pPr>
        <w:spacing w:after="120" w:line="360" w:lineRule="auto"/>
        <w:jc w:val="both"/>
        <w:rPr>
          <w:rFonts w:ascii="Trebuchet MS" w:hAnsi="Trebuchet MS"/>
          <w:sz w:val="24"/>
          <w:szCs w:val="24"/>
        </w:rPr>
      </w:pPr>
      <w:r>
        <w:rPr>
          <w:rFonts w:ascii="Trebuchet MS" w:hAnsi="Trebuchet MS"/>
          <w:sz w:val="24"/>
          <w:szCs w:val="24"/>
        </w:rPr>
        <w:t>Die Formulierung des § 12a lässt befürchten, dass im Einzelfall</w:t>
      </w:r>
      <w:r w:rsidR="005C0F4E">
        <w:rPr>
          <w:rFonts w:ascii="Trebuchet MS" w:hAnsi="Trebuchet MS"/>
          <w:sz w:val="24"/>
          <w:szCs w:val="24"/>
        </w:rPr>
        <w:t xml:space="preserve"> allzu leicht</w:t>
      </w:r>
      <w:r>
        <w:rPr>
          <w:rFonts w:ascii="Trebuchet MS" w:hAnsi="Trebuchet MS"/>
          <w:sz w:val="24"/>
          <w:szCs w:val="24"/>
        </w:rPr>
        <w:t xml:space="preserve"> von einer barrierefreien Ausgestaltung abgesehen wird. Die Möglichkeit</w:t>
      </w:r>
      <w:r w:rsidR="001727E6">
        <w:rPr>
          <w:rFonts w:ascii="Trebuchet MS" w:hAnsi="Trebuchet MS"/>
          <w:sz w:val="24"/>
          <w:szCs w:val="24"/>
        </w:rPr>
        <w:t xml:space="preserve"> hierzu</w:t>
      </w:r>
      <w:r>
        <w:rPr>
          <w:rFonts w:ascii="Trebuchet MS" w:hAnsi="Trebuchet MS"/>
          <w:sz w:val="24"/>
          <w:szCs w:val="24"/>
        </w:rPr>
        <w:t xml:space="preserve"> wird</w:t>
      </w:r>
      <w:r w:rsidR="00FB6BB5">
        <w:rPr>
          <w:rFonts w:ascii="Trebuchet MS" w:hAnsi="Trebuchet MS"/>
          <w:sz w:val="24"/>
          <w:szCs w:val="24"/>
        </w:rPr>
        <w:t xml:space="preserve"> vor allem</w:t>
      </w:r>
      <w:r>
        <w:rPr>
          <w:rFonts w:ascii="Trebuchet MS" w:hAnsi="Trebuchet MS"/>
          <w:sz w:val="24"/>
          <w:szCs w:val="24"/>
        </w:rPr>
        <w:t xml:space="preserve"> durch die Regelung in Absatz 5 eingeräumt, wonach von einer barrierefreien Gestaltung abgesehen werden kann, soweit die Stelle hierdurch un</w:t>
      </w:r>
      <w:r w:rsidR="00FB6BB5">
        <w:rPr>
          <w:rFonts w:ascii="Trebuchet MS" w:hAnsi="Trebuchet MS"/>
          <w:sz w:val="24"/>
          <w:szCs w:val="24"/>
        </w:rPr>
        <w:t xml:space="preserve">verhältnismäßig belastet würde. Wann von einer solchen „unverhältnismäßigen Belastung“ auszugehen ist, wird im Gesetz </w:t>
      </w:r>
      <w:r w:rsidR="00673DDD">
        <w:rPr>
          <w:rFonts w:ascii="Trebuchet MS" w:hAnsi="Trebuchet MS"/>
          <w:sz w:val="24"/>
          <w:szCs w:val="24"/>
        </w:rPr>
        <w:t xml:space="preserve">aber </w:t>
      </w:r>
      <w:r w:rsidR="00FB6BB5">
        <w:rPr>
          <w:rFonts w:ascii="Trebuchet MS" w:hAnsi="Trebuchet MS"/>
          <w:sz w:val="24"/>
          <w:szCs w:val="24"/>
        </w:rPr>
        <w:t xml:space="preserve">nicht näher dargelegt. Das bedeutet, dass eine Stelle schon mit dem Argument fehlenden Fachpersonals oder </w:t>
      </w:r>
      <w:r w:rsidR="00673DDD">
        <w:rPr>
          <w:rFonts w:ascii="Trebuchet MS" w:hAnsi="Trebuchet MS"/>
          <w:sz w:val="24"/>
          <w:szCs w:val="24"/>
        </w:rPr>
        <w:t>begrenzter Haushaltsmittel von einer barrierefreien Ausgestaltung absehen k</w:t>
      </w:r>
      <w:r w:rsidR="001727E6">
        <w:rPr>
          <w:rFonts w:ascii="Trebuchet MS" w:hAnsi="Trebuchet MS"/>
          <w:sz w:val="24"/>
          <w:szCs w:val="24"/>
        </w:rPr>
        <w:t>önnte</w:t>
      </w:r>
      <w:r w:rsidR="00673DDD">
        <w:rPr>
          <w:rFonts w:ascii="Trebuchet MS" w:hAnsi="Trebuchet MS"/>
          <w:sz w:val="24"/>
          <w:szCs w:val="24"/>
        </w:rPr>
        <w:t>. Zumindest wird es</w:t>
      </w:r>
      <w:r w:rsidR="00E96F22">
        <w:rPr>
          <w:rFonts w:ascii="Trebuchet MS" w:hAnsi="Trebuchet MS"/>
          <w:sz w:val="24"/>
          <w:szCs w:val="24"/>
        </w:rPr>
        <w:t xml:space="preserve"> ungeachtet der Regelung des § 12b (s. unten)</w:t>
      </w:r>
      <w:r w:rsidR="00673DDD">
        <w:rPr>
          <w:rFonts w:ascii="Trebuchet MS" w:hAnsi="Trebuchet MS"/>
          <w:sz w:val="24"/>
          <w:szCs w:val="24"/>
        </w:rPr>
        <w:t xml:space="preserve"> für den auf ein barrierefreies Angebot angewiesenen Nutzer schwer darzulegen, dass eine Unverhältnismäßigkeit im Sinne des Abs. 5 doch nicht gegeben ist.</w:t>
      </w:r>
    </w:p>
    <w:p w:rsidR="00673DDD" w:rsidRDefault="00673DDD" w:rsidP="00473F1A">
      <w:pPr>
        <w:spacing w:after="120" w:line="360" w:lineRule="auto"/>
        <w:jc w:val="both"/>
        <w:rPr>
          <w:rFonts w:ascii="Trebuchet MS" w:hAnsi="Trebuchet MS"/>
          <w:sz w:val="24"/>
          <w:szCs w:val="24"/>
        </w:rPr>
      </w:pPr>
      <w:r>
        <w:rPr>
          <w:rFonts w:ascii="Trebuchet MS" w:hAnsi="Trebuchet MS"/>
          <w:sz w:val="24"/>
          <w:szCs w:val="24"/>
        </w:rPr>
        <w:t>Im Übrigen erscheint auch die Regelung in Absatz 1 als zu unscharf, denn hieraus geht beispielsweise nicht klar hervor, ob und inwieweit Anhänge (z.B. im PDF-</w:t>
      </w:r>
      <w:r>
        <w:rPr>
          <w:rFonts w:ascii="Trebuchet MS" w:hAnsi="Trebuchet MS"/>
          <w:sz w:val="24"/>
          <w:szCs w:val="24"/>
        </w:rPr>
        <w:lastRenderedPageBreak/>
        <w:t xml:space="preserve">Format) und </w:t>
      </w:r>
      <w:r w:rsidR="001727E6">
        <w:rPr>
          <w:rFonts w:ascii="Trebuchet MS" w:hAnsi="Trebuchet MS"/>
          <w:sz w:val="24"/>
          <w:szCs w:val="24"/>
        </w:rPr>
        <w:t>andere Internetseiten, die mit Links verbunden sind,</w:t>
      </w:r>
      <w:r>
        <w:rPr>
          <w:rFonts w:ascii="Trebuchet MS" w:hAnsi="Trebuchet MS"/>
          <w:sz w:val="24"/>
          <w:szCs w:val="24"/>
        </w:rPr>
        <w:t xml:space="preserve"> barrierefrei ausgestaltet sein müssen. </w:t>
      </w:r>
    </w:p>
    <w:p w:rsidR="00673DDD" w:rsidRDefault="00673DDD" w:rsidP="00473F1A">
      <w:pPr>
        <w:spacing w:after="120" w:line="360" w:lineRule="auto"/>
        <w:jc w:val="both"/>
        <w:rPr>
          <w:rFonts w:ascii="Trebuchet MS" w:hAnsi="Trebuchet MS"/>
          <w:sz w:val="24"/>
          <w:szCs w:val="24"/>
        </w:rPr>
      </w:pPr>
      <w:r>
        <w:rPr>
          <w:rFonts w:ascii="Trebuchet MS" w:hAnsi="Trebuchet MS"/>
          <w:sz w:val="24"/>
          <w:szCs w:val="24"/>
        </w:rPr>
        <w:t>Allein die</w:t>
      </w:r>
      <w:r w:rsidR="001727E6">
        <w:rPr>
          <w:rFonts w:ascii="Trebuchet MS" w:hAnsi="Trebuchet MS"/>
          <w:sz w:val="24"/>
          <w:szCs w:val="24"/>
        </w:rPr>
        <w:t>se</w:t>
      </w:r>
      <w:r>
        <w:rPr>
          <w:rFonts w:ascii="Trebuchet MS" w:hAnsi="Trebuchet MS"/>
          <w:sz w:val="24"/>
          <w:szCs w:val="24"/>
        </w:rPr>
        <w:t xml:space="preserve"> beiden genannten Aspekte lassen befürchten, dass eine generelle digitale Barrierefreiheit </w:t>
      </w:r>
      <w:r w:rsidR="00E96F22">
        <w:rPr>
          <w:rFonts w:ascii="Trebuchet MS" w:hAnsi="Trebuchet MS"/>
          <w:sz w:val="24"/>
          <w:szCs w:val="24"/>
        </w:rPr>
        <w:t xml:space="preserve">zumindest in naher Zukunft </w:t>
      </w:r>
      <w:r>
        <w:rPr>
          <w:rFonts w:ascii="Trebuchet MS" w:hAnsi="Trebuchet MS"/>
          <w:sz w:val="24"/>
          <w:szCs w:val="24"/>
        </w:rPr>
        <w:t>nicht wirklich angest</w:t>
      </w:r>
      <w:r w:rsidR="00E96F22">
        <w:rPr>
          <w:rFonts w:ascii="Trebuchet MS" w:hAnsi="Trebuchet MS"/>
          <w:sz w:val="24"/>
          <w:szCs w:val="24"/>
        </w:rPr>
        <w:t xml:space="preserve">rebt wird. Vielmehr werden zögerliche Schritte erkennbar, mit denen offenkundig </w:t>
      </w:r>
      <w:r w:rsidR="001727E6">
        <w:rPr>
          <w:rFonts w:ascii="Trebuchet MS" w:hAnsi="Trebuchet MS"/>
          <w:sz w:val="24"/>
          <w:szCs w:val="24"/>
        </w:rPr>
        <w:t>zunächst</w:t>
      </w:r>
      <w:r w:rsidR="00E96F22">
        <w:rPr>
          <w:rFonts w:ascii="Trebuchet MS" w:hAnsi="Trebuchet MS"/>
          <w:sz w:val="24"/>
          <w:szCs w:val="24"/>
        </w:rPr>
        <w:t xml:space="preserve"> geprüft werden soll, ob die Umsetzung nicht zu aufwendig und mit zu hohen Kosten verbunden ist. Auch wenn die zugrunde liegende EU-Richtlinie lediglich Mindestanforderungen benennt, ist eine solche Haltung angesichts des Inklusionsgedankens der UN-Behindertenrechtskonvention und der sich rasch weiterentwickelnden Digitalisierung in allen Lebensbereichen, nicht nachvollziehbar.</w:t>
      </w:r>
    </w:p>
    <w:p w:rsidR="00E96F22" w:rsidRDefault="00E96F22" w:rsidP="00473F1A">
      <w:pPr>
        <w:spacing w:after="120" w:line="360" w:lineRule="auto"/>
        <w:jc w:val="both"/>
        <w:rPr>
          <w:rFonts w:ascii="Trebuchet MS" w:hAnsi="Trebuchet MS"/>
          <w:sz w:val="24"/>
          <w:szCs w:val="24"/>
        </w:rPr>
      </w:pPr>
    </w:p>
    <w:p w:rsidR="00562466" w:rsidRPr="00673DDD" w:rsidRDefault="00562466" w:rsidP="00473F1A">
      <w:pPr>
        <w:spacing w:after="120" w:line="360" w:lineRule="auto"/>
        <w:jc w:val="both"/>
        <w:rPr>
          <w:rFonts w:ascii="Trebuchet MS" w:hAnsi="Trebuchet MS"/>
          <w:b/>
          <w:sz w:val="24"/>
          <w:szCs w:val="24"/>
        </w:rPr>
      </w:pPr>
      <w:r w:rsidRPr="00673DDD">
        <w:rPr>
          <w:rFonts w:ascii="Trebuchet MS" w:hAnsi="Trebuchet MS"/>
          <w:b/>
          <w:sz w:val="24"/>
          <w:szCs w:val="24"/>
        </w:rPr>
        <w:t>§ 12b</w:t>
      </w:r>
      <w:r w:rsidR="00673DDD" w:rsidRPr="00673DDD">
        <w:rPr>
          <w:rFonts w:ascii="Trebuchet MS" w:hAnsi="Trebuchet MS"/>
          <w:b/>
          <w:sz w:val="24"/>
          <w:szCs w:val="24"/>
        </w:rPr>
        <w:t xml:space="preserve"> BGG-E – Erklärung zur Barrierefreiheit</w:t>
      </w:r>
    </w:p>
    <w:p w:rsidR="00562466" w:rsidRDefault="00E96F22" w:rsidP="00473F1A">
      <w:pPr>
        <w:spacing w:after="120" w:line="360" w:lineRule="auto"/>
        <w:jc w:val="both"/>
        <w:rPr>
          <w:rFonts w:ascii="Trebuchet MS" w:hAnsi="Trebuchet MS"/>
          <w:sz w:val="24"/>
          <w:szCs w:val="24"/>
        </w:rPr>
      </w:pPr>
      <w:r>
        <w:rPr>
          <w:rFonts w:ascii="Trebuchet MS" w:hAnsi="Trebuchet MS"/>
          <w:sz w:val="24"/>
          <w:szCs w:val="24"/>
        </w:rPr>
        <w:t xml:space="preserve">Die Vorgabe, dass die öffentlichen Stellen künftig eine Erklärung zur Barrierefreiheit der Websites oder mobilen Anwendung veröffentlichen, insbesondere auch im Falle einer nicht vollständig barrierefreien Gestaltung, ist zu begrüßen. </w:t>
      </w:r>
      <w:r w:rsidR="00B354E7">
        <w:rPr>
          <w:rFonts w:ascii="Trebuchet MS" w:hAnsi="Trebuchet MS"/>
          <w:sz w:val="24"/>
          <w:szCs w:val="24"/>
        </w:rPr>
        <w:t xml:space="preserve">Die Regelung darf aber nicht darüber hinwegtäuschen, dass das hieraus resultierende Aktivwerden des Nutzers mit einem hohen Aufwand verbunden ist. Er muss die zuständige Stelle kontaktieren, hat bis zu einem Monat auf eine Antwort zu warten und muss ggf. erst ein Schlichtungsverfahren einleiten, um seinen Anspruch auf barrierefreie </w:t>
      </w:r>
      <w:r w:rsidR="001727E6">
        <w:rPr>
          <w:rFonts w:ascii="Trebuchet MS" w:hAnsi="Trebuchet MS"/>
          <w:sz w:val="24"/>
          <w:szCs w:val="24"/>
        </w:rPr>
        <w:t>Ausg</w:t>
      </w:r>
      <w:r w:rsidR="00B354E7">
        <w:rPr>
          <w:rFonts w:ascii="Trebuchet MS" w:hAnsi="Trebuchet MS"/>
          <w:sz w:val="24"/>
          <w:szCs w:val="24"/>
        </w:rPr>
        <w:t>estaltung durchzusetzen. Es ist daher in der Praxis damit zu rechnen, dass Betroffene</w:t>
      </w:r>
      <w:r w:rsidR="001727E6">
        <w:rPr>
          <w:rFonts w:ascii="Trebuchet MS" w:hAnsi="Trebuchet MS"/>
          <w:sz w:val="24"/>
          <w:szCs w:val="24"/>
        </w:rPr>
        <w:t xml:space="preserve"> vielfach</w:t>
      </w:r>
      <w:r w:rsidR="00B354E7">
        <w:rPr>
          <w:rFonts w:ascii="Trebuchet MS" w:hAnsi="Trebuchet MS"/>
          <w:sz w:val="24"/>
          <w:szCs w:val="24"/>
        </w:rPr>
        <w:t xml:space="preserve"> eine nicht vollständige barrierefreie Gestaltung und damit einem entsprechenden Teilhabeausschluss kommentarlos hinnehmen.</w:t>
      </w:r>
    </w:p>
    <w:p w:rsidR="00B354E7" w:rsidRDefault="00B354E7" w:rsidP="00473F1A">
      <w:pPr>
        <w:spacing w:after="120" w:line="360" w:lineRule="auto"/>
        <w:jc w:val="both"/>
        <w:rPr>
          <w:rFonts w:ascii="Trebuchet MS" w:hAnsi="Trebuchet MS"/>
          <w:sz w:val="24"/>
          <w:szCs w:val="24"/>
        </w:rPr>
      </w:pPr>
      <w:r>
        <w:rPr>
          <w:rFonts w:ascii="Trebuchet MS" w:hAnsi="Trebuchet MS"/>
          <w:sz w:val="24"/>
          <w:szCs w:val="24"/>
        </w:rPr>
        <w:t>Vor diesem Hintergrund ist ein weitaus effektiveres und gestrafftes Verfahren einschließlich der Vorgabe, welche Sanktionen im Falle einer unzulässigen Gestaltung in nicht-barrierefreier Form zu erwarten sind, vorzusehen.</w:t>
      </w:r>
    </w:p>
    <w:p w:rsidR="00562466" w:rsidRDefault="00562466" w:rsidP="00473F1A">
      <w:pPr>
        <w:spacing w:after="120" w:line="360" w:lineRule="auto"/>
        <w:jc w:val="both"/>
        <w:rPr>
          <w:rFonts w:ascii="Trebuchet MS" w:hAnsi="Trebuchet MS"/>
          <w:sz w:val="24"/>
          <w:szCs w:val="24"/>
        </w:rPr>
      </w:pPr>
    </w:p>
    <w:p w:rsidR="001727E6" w:rsidRDefault="001727E6" w:rsidP="00473F1A">
      <w:pPr>
        <w:spacing w:after="120" w:line="360" w:lineRule="auto"/>
        <w:jc w:val="both"/>
        <w:rPr>
          <w:rFonts w:ascii="Trebuchet MS" w:hAnsi="Trebuchet MS"/>
          <w:b/>
          <w:sz w:val="24"/>
          <w:szCs w:val="24"/>
        </w:rPr>
      </w:pPr>
    </w:p>
    <w:p w:rsidR="001727E6" w:rsidRDefault="001727E6" w:rsidP="00473F1A">
      <w:pPr>
        <w:spacing w:after="120" w:line="360" w:lineRule="auto"/>
        <w:jc w:val="both"/>
        <w:rPr>
          <w:rFonts w:ascii="Trebuchet MS" w:hAnsi="Trebuchet MS"/>
          <w:b/>
          <w:sz w:val="24"/>
          <w:szCs w:val="24"/>
        </w:rPr>
      </w:pPr>
    </w:p>
    <w:p w:rsidR="00562466" w:rsidRPr="0032253D" w:rsidRDefault="00562466" w:rsidP="00473F1A">
      <w:pPr>
        <w:spacing w:after="120" w:line="360" w:lineRule="auto"/>
        <w:jc w:val="both"/>
        <w:rPr>
          <w:rFonts w:ascii="Trebuchet MS" w:hAnsi="Trebuchet MS"/>
          <w:b/>
          <w:sz w:val="24"/>
          <w:szCs w:val="24"/>
        </w:rPr>
      </w:pPr>
      <w:r w:rsidRPr="0032253D">
        <w:rPr>
          <w:rFonts w:ascii="Trebuchet MS" w:hAnsi="Trebuchet MS"/>
          <w:b/>
          <w:sz w:val="24"/>
          <w:szCs w:val="24"/>
        </w:rPr>
        <w:lastRenderedPageBreak/>
        <w:t>§ 12c</w:t>
      </w:r>
      <w:r w:rsidR="0032253D" w:rsidRPr="0032253D">
        <w:rPr>
          <w:rFonts w:ascii="Trebuchet MS" w:hAnsi="Trebuchet MS"/>
          <w:b/>
          <w:sz w:val="24"/>
          <w:szCs w:val="24"/>
        </w:rPr>
        <w:t xml:space="preserve"> BGG-E – Berichterstattung über den Stand der Barrierefreiheit</w:t>
      </w:r>
    </w:p>
    <w:p w:rsidR="00562466" w:rsidRDefault="0032253D" w:rsidP="00473F1A">
      <w:pPr>
        <w:spacing w:after="120" w:line="360" w:lineRule="auto"/>
        <w:jc w:val="both"/>
        <w:rPr>
          <w:rFonts w:ascii="Trebuchet MS" w:hAnsi="Trebuchet MS"/>
          <w:sz w:val="24"/>
          <w:szCs w:val="24"/>
        </w:rPr>
      </w:pPr>
      <w:r>
        <w:rPr>
          <w:rFonts w:ascii="Trebuchet MS" w:hAnsi="Trebuchet MS"/>
          <w:sz w:val="24"/>
          <w:szCs w:val="24"/>
        </w:rPr>
        <w:t>Die vorgesehene Berichterstattung ist zu begrüßen, warum sie jedoch erstmals erst zum 30.06.2021</w:t>
      </w:r>
      <w:r w:rsidR="001727E6">
        <w:rPr>
          <w:rFonts w:ascii="Trebuchet MS" w:hAnsi="Trebuchet MS"/>
          <w:sz w:val="24"/>
          <w:szCs w:val="24"/>
        </w:rPr>
        <w:t xml:space="preserve"> – also in mehr als drei Jahren -</w:t>
      </w:r>
      <w:r>
        <w:rPr>
          <w:rFonts w:ascii="Trebuchet MS" w:hAnsi="Trebuchet MS"/>
          <w:sz w:val="24"/>
          <w:szCs w:val="24"/>
        </w:rPr>
        <w:t xml:space="preserve"> erfolgen soll, ist nicht nachvollziehbar. </w:t>
      </w:r>
      <w:r w:rsidR="001727E6">
        <w:rPr>
          <w:rFonts w:ascii="Trebuchet MS" w:hAnsi="Trebuchet MS"/>
          <w:sz w:val="24"/>
          <w:szCs w:val="24"/>
        </w:rPr>
        <w:t>Hier ist die Festlegung eines weitaus früheren Zeitpunktes zu fordern, auch zur Klärung des gegenwärtigen Ist-Zustandes in Bezug auf die barrierefreie Ausgestaltung.</w:t>
      </w:r>
    </w:p>
    <w:p w:rsidR="0032253D" w:rsidRDefault="0032253D" w:rsidP="00473F1A">
      <w:pPr>
        <w:spacing w:after="120" w:line="360" w:lineRule="auto"/>
        <w:jc w:val="both"/>
        <w:rPr>
          <w:rFonts w:ascii="Trebuchet MS" w:hAnsi="Trebuchet MS"/>
          <w:sz w:val="24"/>
          <w:szCs w:val="24"/>
        </w:rPr>
      </w:pPr>
      <w:r>
        <w:rPr>
          <w:rFonts w:ascii="Trebuchet MS" w:hAnsi="Trebuchet MS"/>
          <w:sz w:val="24"/>
          <w:szCs w:val="24"/>
        </w:rPr>
        <w:t>Wichtig erscheint auch die klare Vorgabe, dass die Berichte auch die von betroffenen Nutzern geäußerte Kritik sowie deren Anregungen und Vorschläge zur Verbesserung und Optimierung zum Ausbau des barrierefreien Angebots im digitalen Bereich mit umfassen. Denn nur so wird eine wirklich objektive Darstellung der Sachlage erreicht.</w:t>
      </w:r>
    </w:p>
    <w:p w:rsidR="00562466" w:rsidRDefault="00562466" w:rsidP="00473F1A">
      <w:pPr>
        <w:spacing w:after="120" w:line="360" w:lineRule="auto"/>
        <w:jc w:val="both"/>
        <w:rPr>
          <w:rFonts w:ascii="Trebuchet MS" w:hAnsi="Trebuchet MS"/>
          <w:sz w:val="24"/>
          <w:szCs w:val="24"/>
        </w:rPr>
      </w:pPr>
    </w:p>
    <w:p w:rsidR="00562466" w:rsidRPr="0032253D" w:rsidRDefault="00562466" w:rsidP="00473F1A">
      <w:pPr>
        <w:spacing w:after="120" w:line="360" w:lineRule="auto"/>
        <w:jc w:val="both"/>
        <w:rPr>
          <w:rFonts w:ascii="Trebuchet MS" w:hAnsi="Trebuchet MS"/>
          <w:b/>
          <w:sz w:val="24"/>
          <w:szCs w:val="24"/>
        </w:rPr>
      </w:pPr>
      <w:r w:rsidRPr="0032253D">
        <w:rPr>
          <w:rFonts w:ascii="Trebuchet MS" w:hAnsi="Trebuchet MS"/>
          <w:b/>
          <w:sz w:val="24"/>
          <w:szCs w:val="24"/>
        </w:rPr>
        <w:t>§ 12d</w:t>
      </w:r>
      <w:r w:rsidR="0032253D" w:rsidRPr="0032253D">
        <w:rPr>
          <w:rFonts w:ascii="Trebuchet MS" w:hAnsi="Trebuchet MS"/>
          <w:b/>
          <w:sz w:val="24"/>
          <w:szCs w:val="24"/>
        </w:rPr>
        <w:t xml:space="preserve"> BGG-E - Verordnungsermächtigung</w:t>
      </w:r>
    </w:p>
    <w:p w:rsidR="00562466" w:rsidRDefault="0032253D" w:rsidP="00473F1A">
      <w:pPr>
        <w:spacing w:after="120" w:line="360" w:lineRule="auto"/>
        <w:jc w:val="both"/>
        <w:rPr>
          <w:rFonts w:ascii="Trebuchet MS" w:hAnsi="Trebuchet MS"/>
          <w:sz w:val="24"/>
          <w:szCs w:val="24"/>
        </w:rPr>
      </w:pPr>
      <w:r>
        <w:rPr>
          <w:rFonts w:ascii="Trebuchet MS" w:hAnsi="Trebuchet MS"/>
          <w:sz w:val="24"/>
          <w:szCs w:val="24"/>
        </w:rPr>
        <w:t xml:space="preserve">Nicht nachvollziehbar ist, warum die Regelung in ihrer Einleitung die Einschränkung „nach Maßgabe der technischen, finanziellen und verwaltungsorganisatorischen Möglichkeiten“ enthält. Hierdurch werden die nachfolgenden Vorgaben unter Nrn. 1 bis 6 unnötig verwässert. Wir </w:t>
      </w:r>
      <w:r w:rsidR="00EA7263">
        <w:rPr>
          <w:rFonts w:ascii="Trebuchet MS" w:hAnsi="Trebuchet MS"/>
          <w:sz w:val="24"/>
          <w:szCs w:val="24"/>
        </w:rPr>
        <w:t>fordern insoweit die ersatzlose Streichung dieser Einschränkung.</w:t>
      </w:r>
    </w:p>
    <w:p w:rsidR="00EA7263" w:rsidRDefault="00EA7263" w:rsidP="00473F1A">
      <w:pPr>
        <w:spacing w:after="120" w:line="360" w:lineRule="auto"/>
        <w:jc w:val="both"/>
        <w:rPr>
          <w:rFonts w:ascii="Trebuchet MS" w:hAnsi="Trebuchet MS"/>
          <w:sz w:val="24"/>
          <w:szCs w:val="24"/>
        </w:rPr>
      </w:pPr>
    </w:p>
    <w:p w:rsidR="00EA7263" w:rsidRPr="00EA7263" w:rsidRDefault="00EA7263" w:rsidP="00473F1A">
      <w:pPr>
        <w:spacing w:after="120" w:line="360" w:lineRule="auto"/>
        <w:jc w:val="both"/>
        <w:rPr>
          <w:rFonts w:ascii="Trebuchet MS" w:hAnsi="Trebuchet MS"/>
          <w:b/>
          <w:sz w:val="24"/>
          <w:szCs w:val="24"/>
        </w:rPr>
      </w:pPr>
      <w:r w:rsidRPr="00EA7263">
        <w:rPr>
          <w:rFonts w:ascii="Trebuchet MS" w:hAnsi="Trebuchet MS"/>
          <w:b/>
          <w:sz w:val="24"/>
          <w:szCs w:val="24"/>
        </w:rPr>
        <w:t>§ 13 Abs. 3 BGG-E</w:t>
      </w:r>
    </w:p>
    <w:p w:rsidR="00EA7263" w:rsidRDefault="00EA7263" w:rsidP="00473F1A">
      <w:pPr>
        <w:spacing w:after="120" w:line="360" w:lineRule="auto"/>
        <w:jc w:val="both"/>
        <w:rPr>
          <w:rFonts w:ascii="Trebuchet MS" w:hAnsi="Trebuchet MS"/>
          <w:sz w:val="24"/>
          <w:szCs w:val="24"/>
        </w:rPr>
      </w:pPr>
      <w:r>
        <w:rPr>
          <w:rFonts w:ascii="Trebuchet MS" w:hAnsi="Trebuchet MS"/>
          <w:sz w:val="24"/>
          <w:szCs w:val="24"/>
        </w:rPr>
        <w:t>Die Einrichtung einer Überwachungsstelle des Bundes für Barrierefreiheit von Informationstechnik wird begrüßt. Sie darf jedoch nicht zu einer finanziellen wie fachlichen Einschränkung der Tätigkeit der Bundfachstelle Barrierefreiheit führen. Dies sollte in der Gesetzesformulierung ausdrücklich klargestellt werden.</w:t>
      </w:r>
    </w:p>
    <w:p w:rsidR="00562466" w:rsidRDefault="00562466" w:rsidP="00473F1A">
      <w:pPr>
        <w:spacing w:after="120" w:line="360" w:lineRule="auto"/>
        <w:jc w:val="both"/>
        <w:rPr>
          <w:rFonts w:ascii="Trebuchet MS" w:hAnsi="Trebuchet MS"/>
          <w:sz w:val="24"/>
          <w:szCs w:val="24"/>
        </w:rPr>
      </w:pPr>
    </w:p>
    <w:p w:rsidR="001727E6" w:rsidRDefault="001727E6" w:rsidP="00473F1A">
      <w:pPr>
        <w:spacing w:after="120" w:line="360" w:lineRule="auto"/>
        <w:jc w:val="both"/>
        <w:rPr>
          <w:rFonts w:ascii="Trebuchet MS" w:hAnsi="Trebuchet MS"/>
          <w:sz w:val="24"/>
          <w:szCs w:val="24"/>
        </w:rPr>
      </w:pPr>
    </w:p>
    <w:p w:rsidR="00CE2C26" w:rsidRDefault="00CE2C26" w:rsidP="00473F1A">
      <w:pPr>
        <w:spacing w:after="120" w:line="360" w:lineRule="auto"/>
      </w:pPr>
    </w:p>
    <w:p w:rsidR="001727E6" w:rsidRPr="001727E6" w:rsidRDefault="001727E6" w:rsidP="00473F1A">
      <w:pPr>
        <w:spacing w:after="120" w:line="360" w:lineRule="auto"/>
        <w:rPr>
          <w:rFonts w:ascii="Trebuchet MS" w:hAnsi="Trebuchet MS"/>
          <w:b/>
          <w:i/>
          <w:sz w:val="24"/>
          <w:szCs w:val="24"/>
        </w:rPr>
      </w:pP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sidRPr="001727E6">
        <w:rPr>
          <w:rFonts w:ascii="Trebuchet MS" w:hAnsi="Trebuchet MS"/>
          <w:b/>
          <w:i/>
          <w:sz w:val="24"/>
          <w:szCs w:val="24"/>
        </w:rPr>
        <w:tab/>
      </w:r>
      <w:r>
        <w:rPr>
          <w:rFonts w:ascii="Trebuchet MS" w:hAnsi="Trebuchet MS"/>
          <w:b/>
          <w:i/>
          <w:sz w:val="24"/>
          <w:szCs w:val="24"/>
        </w:rPr>
        <w:t xml:space="preserve">   </w:t>
      </w:r>
      <w:r w:rsidRPr="001727E6">
        <w:rPr>
          <w:rFonts w:ascii="Trebuchet MS" w:hAnsi="Trebuchet MS"/>
          <w:b/>
          <w:i/>
          <w:sz w:val="24"/>
          <w:szCs w:val="24"/>
        </w:rPr>
        <w:t>Düsseldorf, den 21.02.2018</w:t>
      </w:r>
    </w:p>
    <w:sectPr w:rsidR="001727E6" w:rsidRPr="001727E6" w:rsidSect="00EA7263">
      <w:footerReference w:type="default" r:id="rId8"/>
      <w:pgSz w:w="11906" w:h="16838"/>
      <w:pgMar w:top="1418"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63" w:rsidRDefault="00E86C63" w:rsidP="00EA7263">
      <w:r>
        <w:separator/>
      </w:r>
    </w:p>
  </w:endnote>
  <w:endnote w:type="continuationSeparator" w:id="0">
    <w:p w:rsidR="00E86C63" w:rsidRDefault="00E86C63" w:rsidP="00EA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64288"/>
      <w:docPartObj>
        <w:docPartGallery w:val="Page Numbers (Bottom of Page)"/>
        <w:docPartUnique/>
      </w:docPartObj>
    </w:sdtPr>
    <w:sdtEndPr/>
    <w:sdtContent>
      <w:p w:rsidR="00EA7263" w:rsidRDefault="00EA7263">
        <w:pPr>
          <w:pStyle w:val="Fuzeile"/>
          <w:jc w:val="right"/>
        </w:pPr>
        <w:r>
          <w:fldChar w:fldCharType="begin"/>
        </w:r>
        <w:r>
          <w:instrText>PAGE   \* MERGEFORMAT</w:instrText>
        </w:r>
        <w:r>
          <w:fldChar w:fldCharType="separate"/>
        </w:r>
        <w:r w:rsidR="00E7122E">
          <w:rPr>
            <w:noProof/>
          </w:rPr>
          <w:t>2</w:t>
        </w:r>
        <w:r>
          <w:fldChar w:fldCharType="end"/>
        </w:r>
      </w:p>
    </w:sdtContent>
  </w:sdt>
  <w:p w:rsidR="00EA7263" w:rsidRDefault="00EA72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63" w:rsidRDefault="00E86C63" w:rsidP="00EA7263">
      <w:r>
        <w:separator/>
      </w:r>
    </w:p>
  </w:footnote>
  <w:footnote w:type="continuationSeparator" w:id="0">
    <w:p w:rsidR="00E86C63" w:rsidRDefault="00E86C63" w:rsidP="00EA7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26"/>
    <w:rsid w:val="000D5CAE"/>
    <w:rsid w:val="001727E6"/>
    <w:rsid w:val="00187AC9"/>
    <w:rsid w:val="001F36A8"/>
    <w:rsid w:val="0032253D"/>
    <w:rsid w:val="004312F9"/>
    <w:rsid w:val="00455909"/>
    <w:rsid w:val="00473F1A"/>
    <w:rsid w:val="004D5B3A"/>
    <w:rsid w:val="00562466"/>
    <w:rsid w:val="00573533"/>
    <w:rsid w:val="005C0F4E"/>
    <w:rsid w:val="006070A7"/>
    <w:rsid w:val="00631CCE"/>
    <w:rsid w:val="00673DDD"/>
    <w:rsid w:val="007A6599"/>
    <w:rsid w:val="00825BFA"/>
    <w:rsid w:val="008B1385"/>
    <w:rsid w:val="00961789"/>
    <w:rsid w:val="00A278F1"/>
    <w:rsid w:val="00A80EEE"/>
    <w:rsid w:val="00AD2966"/>
    <w:rsid w:val="00B354E7"/>
    <w:rsid w:val="00CE2C26"/>
    <w:rsid w:val="00D2234B"/>
    <w:rsid w:val="00E7122E"/>
    <w:rsid w:val="00E86C63"/>
    <w:rsid w:val="00E920AF"/>
    <w:rsid w:val="00E96F22"/>
    <w:rsid w:val="00EA7263"/>
    <w:rsid w:val="00FB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C26"/>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C26"/>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E2C26"/>
    <w:rPr>
      <w:rFonts w:ascii="Tahoma" w:hAnsi="Tahoma" w:cs="Tahoma"/>
      <w:sz w:val="16"/>
      <w:szCs w:val="16"/>
    </w:rPr>
  </w:style>
  <w:style w:type="paragraph" w:styleId="Kopfzeile">
    <w:name w:val="header"/>
    <w:basedOn w:val="Standard"/>
    <w:link w:val="KopfzeileZchn"/>
    <w:uiPriority w:val="99"/>
    <w:unhideWhenUsed/>
    <w:rsid w:val="00EA7263"/>
    <w:pPr>
      <w:tabs>
        <w:tab w:val="center" w:pos="4536"/>
        <w:tab w:val="right" w:pos="9072"/>
      </w:tabs>
    </w:pPr>
  </w:style>
  <w:style w:type="character" w:customStyle="1" w:styleId="KopfzeileZchn">
    <w:name w:val="Kopfzeile Zchn"/>
    <w:basedOn w:val="Absatz-Standardschriftart"/>
    <w:link w:val="Kopfzeile"/>
    <w:uiPriority w:val="99"/>
    <w:rsid w:val="00EA7263"/>
    <w:rPr>
      <w:rFonts w:ascii="Calibri" w:eastAsia="Calibri" w:hAnsi="Calibri" w:cs="Times New Roman"/>
    </w:rPr>
  </w:style>
  <w:style w:type="paragraph" w:styleId="Fuzeile">
    <w:name w:val="footer"/>
    <w:basedOn w:val="Standard"/>
    <w:link w:val="FuzeileZchn"/>
    <w:uiPriority w:val="99"/>
    <w:unhideWhenUsed/>
    <w:rsid w:val="00EA7263"/>
    <w:pPr>
      <w:tabs>
        <w:tab w:val="center" w:pos="4536"/>
        <w:tab w:val="right" w:pos="9072"/>
      </w:tabs>
    </w:pPr>
  </w:style>
  <w:style w:type="character" w:customStyle="1" w:styleId="FuzeileZchn">
    <w:name w:val="Fußzeile Zchn"/>
    <w:basedOn w:val="Absatz-Standardschriftart"/>
    <w:link w:val="Fuzeile"/>
    <w:uiPriority w:val="99"/>
    <w:rsid w:val="00EA72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C26"/>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C26"/>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E2C26"/>
    <w:rPr>
      <w:rFonts w:ascii="Tahoma" w:hAnsi="Tahoma" w:cs="Tahoma"/>
      <w:sz w:val="16"/>
      <w:szCs w:val="16"/>
    </w:rPr>
  </w:style>
  <w:style w:type="paragraph" w:styleId="Kopfzeile">
    <w:name w:val="header"/>
    <w:basedOn w:val="Standard"/>
    <w:link w:val="KopfzeileZchn"/>
    <w:uiPriority w:val="99"/>
    <w:unhideWhenUsed/>
    <w:rsid w:val="00EA7263"/>
    <w:pPr>
      <w:tabs>
        <w:tab w:val="center" w:pos="4536"/>
        <w:tab w:val="right" w:pos="9072"/>
      </w:tabs>
    </w:pPr>
  </w:style>
  <w:style w:type="character" w:customStyle="1" w:styleId="KopfzeileZchn">
    <w:name w:val="Kopfzeile Zchn"/>
    <w:basedOn w:val="Absatz-Standardschriftart"/>
    <w:link w:val="Kopfzeile"/>
    <w:uiPriority w:val="99"/>
    <w:rsid w:val="00EA7263"/>
    <w:rPr>
      <w:rFonts w:ascii="Calibri" w:eastAsia="Calibri" w:hAnsi="Calibri" w:cs="Times New Roman"/>
    </w:rPr>
  </w:style>
  <w:style w:type="paragraph" w:styleId="Fuzeile">
    <w:name w:val="footer"/>
    <w:basedOn w:val="Standard"/>
    <w:link w:val="FuzeileZchn"/>
    <w:uiPriority w:val="99"/>
    <w:unhideWhenUsed/>
    <w:rsid w:val="00EA7263"/>
    <w:pPr>
      <w:tabs>
        <w:tab w:val="center" w:pos="4536"/>
        <w:tab w:val="right" w:pos="9072"/>
      </w:tabs>
    </w:pPr>
  </w:style>
  <w:style w:type="character" w:customStyle="1" w:styleId="FuzeileZchn">
    <w:name w:val="Fußzeile Zchn"/>
    <w:basedOn w:val="Absatz-Standardschriftart"/>
    <w:link w:val="Fuzeile"/>
    <w:uiPriority w:val="99"/>
    <w:rsid w:val="00EA72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cp:lastPrinted>2018-02-20T16:54:00Z</cp:lastPrinted>
  <dcterms:created xsi:type="dcterms:W3CDTF">2018-03-05T08:27:00Z</dcterms:created>
  <dcterms:modified xsi:type="dcterms:W3CDTF">2018-03-05T08:27:00Z</dcterms:modified>
</cp:coreProperties>
</file>