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Ind w:w="-108" w:type="dxa"/>
        <w:tblLayout w:type="fixed"/>
        <w:tblCellMar>
          <w:left w:w="10" w:type="dxa"/>
          <w:right w:w="10" w:type="dxa"/>
        </w:tblCellMar>
        <w:tblLook w:val="0000" w:firstRow="0" w:lastRow="0" w:firstColumn="0" w:lastColumn="0" w:noHBand="0" w:noVBand="0"/>
      </w:tblPr>
      <w:tblGrid>
        <w:gridCol w:w="5228"/>
        <w:gridCol w:w="6212"/>
      </w:tblGrid>
      <w:tr w:rsidR="00D26195" w:rsidTr="00BE7408">
        <w:trPr>
          <w:trHeight w:val="2153"/>
        </w:trPr>
        <w:tc>
          <w:tcPr>
            <w:tcW w:w="5228" w:type="dxa"/>
            <w:shd w:val="clear" w:color="auto" w:fill="auto"/>
            <w:tcMar>
              <w:top w:w="0" w:type="dxa"/>
              <w:left w:w="108" w:type="dxa"/>
              <w:bottom w:w="0" w:type="dxa"/>
              <w:right w:w="108" w:type="dxa"/>
            </w:tcMar>
          </w:tcPr>
          <w:p w:rsidR="00D26195" w:rsidRDefault="00D26195" w:rsidP="00BE7408">
            <w:bookmarkStart w:id="0" w:name="_GoBack"/>
            <w:bookmarkEnd w:id="0"/>
            <w:r>
              <w:rPr>
                <w:noProof/>
                <w:lang w:eastAsia="de-DE" w:bidi="ar-SA"/>
              </w:rPr>
              <w:drawing>
                <wp:anchor distT="0" distB="0" distL="114300" distR="114300" simplePos="0" relativeHeight="251659264" behindDoc="0" locked="0" layoutInCell="1" allowOverlap="1" wp14:anchorId="190E31B4" wp14:editId="5095906B">
                  <wp:simplePos x="0" y="0"/>
                  <wp:positionH relativeFrom="column">
                    <wp:posOffset>0</wp:posOffset>
                  </wp:positionH>
                  <wp:positionV relativeFrom="page">
                    <wp:posOffset>0</wp:posOffset>
                  </wp:positionV>
                  <wp:extent cx="1155243" cy="855722"/>
                  <wp:effectExtent l="0" t="0" r="6807" b="1528"/>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55243" cy="855722"/>
                          </a:xfrm>
                          <a:prstGeom prst="rect">
                            <a:avLst/>
                          </a:prstGeom>
                          <a:noFill/>
                          <a:ln>
                            <a:noFill/>
                            <a:prstDash/>
                          </a:ln>
                        </pic:spPr>
                      </pic:pic>
                    </a:graphicData>
                  </a:graphic>
                </wp:anchor>
              </w:drawing>
            </w:r>
          </w:p>
          <w:p w:rsidR="00D26195" w:rsidRDefault="00D26195" w:rsidP="00BE7408">
            <w:pPr>
              <w:rPr>
                <w:rFonts w:ascii="Trebuchet MS" w:eastAsia="Times New Roman" w:hAnsi="Trebuchet MS"/>
                <w:lang w:eastAsia="de-DE"/>
              </w:rPr>
            </w:pPr>
          </w:p>
          <w:p w:rsidR="00D26195" w:rsidRDefault="00D26195" w:rsidP="00BE7408">
            <w:pPr>
              <w:rPr>
                <w:rFonts w:ascii="Trebuchet MS" w:eastAsia="Times New Roman" w:hAnsi="Trebuchet MS"/>
                <w:lang w:eastAsia="de-DE"/>
              </w:rPr>
            </w:pPr>
          </w:p>
        </w:tc>
        <w:tc>
          <w:tcPr>
            <w:tcW w:w="6212" w:type="dxa"/>
            <w:shd w:val="clear" w:color="auto" w:fill="auto"/>
            <w:tcMar>
              <w:top w:w="0" w:type="dxa"/>
              <w:left w:w="108" w:type="dxa"/>
              <w:bottom w:w="0" w:type="dxa"/>
              <w:right w:w="108" w:type="dxa"/>
            </w:tcMar>
          </w:tcPr>
          <w:p w:rsidR="00D26195" w:rsidRDefault="00D26195" w:rsidP="00BE7408">
            <w:pPr>
              <w:rPr>
                <w:rFonts w:ascii="Trebuchet MS" w:eastAsia="Times New Roman" w:hAnsi="Trebuchet MS"/>
                <w:lang w:eastAsia="de-DE"/>
              </w:rPr>
            </w:pPr>
            <w:r>
              <w:rPr>
                <w:rFonts w:ascii="Trebuchet MS" w:eastAsia="Times New Roman" w:hAnsi="Trebuchet MS"/>
                <w:lang w:eastAsia="de-DE"/>
              </w:rPr>
              <w:t>BAG SELBSTHILFE</w:t>
            </w:r>
          </w:p>
          <w:p w:rsidR="00D26195" w:rsidRDefault="00D26195" w:rsidP="00BE7408">
            <w:pPr>
              <w:rPr>
                <w:rFonts w:ascii="Trebuchet MS" w:eastAsia="Times New Roman" w:hAnsi="Trebuchet MS"/>
                <w:lang w:eastAsia="de-DE"/>
              </w:rPr>
            </w:pPr>
            <w:r>
              <w:rPr>
                <w:rFonts w:ascii="Trebuchet MS" w:eastAsia="Times New Roman" w:hAnsi="Trebuchet MS"/>
                <w:lang w:eastAsia="de-DE"/>
              </w:rPr>
              <w:t>Bundesarbeitsgemeinschaft Selbsthilfe von</w:t>
            </w:r>
          </w:p>
          <w:p w:rsidR="00D26195" w:rsidRDefault="00D26195" w:rsidP="00BE7408">
            <w:pPr>
              <w:rPr>
                <w:rFonts w:ascii="Trebuchet MS" w:eastAsia="Times New Roman" w:hAnsi="Trebuchet MS"/>
                <w:lang w:eastAsia="de-DE"/>
              </w:rPr>
            </w:pPr>
            <w:r>
              <w:rPr>
                <w:rFonts w:ascii="Trebuchet MS" w:eastAsia="Times New Roman" w:hAnsi="Trebuchet MS"/>
                <w:lang w:eastAsia="de-DE"/>
              </w:rPr>
              <w:t>Menschen mit Behinderung und chronischer</w:t>
            </w:r>
          </w:p>
          <w:p w:rsidR="00D26195" w:rsidRDefault="00D26195" w:rsidP="00BE7408">
            <w:pPr>
              <w:rPr>
                <w:rFonts w:ascii="Trebuchet MS" w:eastAsia="Times New Roman" w:hAnsi="Trebuchet MS"/>
                <w:lang w:eastAsia="de-DE"/>
              </w:rPr>
            </w:pPr>
            <w:r>
              <w:rPr>
                <w:rFonts w:ascii="Trebuchet MS" w:eastAsia="Times New Roman" w:hAnsi="Trebuchet MS"/>
                <w:lang w:eastAsia="de-DE"/>
              </w:rPr>
              <w:t>Erkrankung und ihren Angehörigen e.V.</w:t>
            </w:r>
          </w:p>
          <w:p w:rsidR="00D26195" w:rsidRDefault="00D26195" w:rsidP="00BE7408">
            <w:pPr>
              <w:rPr>
                <w:rFonts w:ascii="Trebuchet MS" w:eastAsia="Times New Roman" w:hAnsi="Trebuchet MS"/>
                <w:lang w:eastAsia="de-DE"/>
              </w:rPr>
            </w:pPr>
            <w:r>
              <w:rPr>
                <w:rFonts w:ascii="Trebuchet MS" w:eastAsia="Times New Roman" w:hAnsi="Trebuchet MS"/>
                <w:lang w:eastAsia="de-DE"/>
              </w:rPr>
              <w:t>Kirchfeldstr. 149</w:t>
            </w:r>
          </w:p>
          <w:p w:rsidR="00D26195" w:rsidRDefault="00D26195" w:rsidP="00BE7408">
            <w:pPr>
              <w:rPr>
                <w:rFonts w:ascii="Trebuchet MS" w:eastAsia="Times New Roman" w:hAnsi="Trebuchet MS"/>
                <w:lang w:eastAsia="de-DE"/>
              </w:rPr>
            </w:pPr>
            <w:r>
              <w:rPr>
                <w:rFonts w:ascii="Trebuchet MS" w:eastAsia="Times New Roman" w:hAnsi="Trebuchet MS"/>
                <w:lang w:eastAsia="de-DE"/>
              </w:rPr>
              <w:t>40215 Düsseldorf</w:t>
            </w:r>
          </w:p>
          <w:p w:rsidR="00D26195" w:rsidRDefault="00D26195" w:rsidP="00BE7408">
            <w:pPr>
              <w:rPr>
                <w:rFonts w:ascii="Trebuchet MS" w:eastAsia="Times New Roman" w:hAnsi="Trebuchet MS"/>
                <w:lang w:eastAsia="de-DE"/>
              </w:rPr>
            </w:pPr>
            <w:r>
              <w:rPr>
                <w:rFonts w:ascii="Trebuchet MS" w:eastAsia="Times New Roman" w:hAnsi="Trebuchet MS"/>
                <w:lang w:eastAsia="de-DE"/>
              </w:rPr>
              <w:t>Tel.: 0211/31006-35</w:t>
            </w:r>
          </w:p>
          <w:p w:rsidR="00D26195" w:rsidRDefault="00D26195" w:rsidP="00BE7408">
            <w:pPr>
              <w:rPr>
                <w:rFonts w:ascii="Trebuchet MS" w:eastAsia="Times New Roman" w:hAnsi="Trebuchet MS"/>
                <w:lang w:eastAsia="de-DE"/>
              </w:rPr>
            </w:pPr>
            <w:r>
              <w:rPr>
                <w:rFonts w:ascii="Trebuchet MS" w:eastAsia="Times New Roman" w:hAnsi="Trebuchet MS"/>
                <w:lang w:eastAsia="de-DE"/>
              </w:rPr>
              <w:t>Fax.: 0211/31006-48</w:t>
            </w:r>
          </w:p>
        </w:tc>
      </w:tr>
    </w:tbl>
    <w:p w:rsidR="00D26195" w:rsidRDefault="00D26195" w:rsidP="00D26195">
      <w:pPr>
        <w:rPr>
          <w:rFonts w:ascii="Trebuchet MS" w:eastAsia="Times New Roman" w:hAnsi="Trebuchet MS"/>
          <w:lang w:eastAsia="de-DE"/>
        </w:rPr>
      </w:pPr>
    </w:p>
    <w:p w:rsidR="00D26195" w:rsidRDefault="00D26195" w:rsidP="00D26195">
      <w:pPr>
        <w:jc w:val="center"/>
        <w:rPr>
          <w:rFonts w:ascii="Trebuchet MS" w:eastAsia="Times New Roman" w:hAnsi="Trebuchet MS"/>
          <w:b/>
          <w:szCs w:val="32"/>
          <w:lang w:eastAsia="de-DE"/>
        </w:rPr>
      </w:pPr>
    </w:p>
    <w:p w:rsidR="00D26195" w:rsidRDefault="00D26195" w:rsidP="00D26195">
      <w:pPr>
        <w:tabs>
          <w:tab w:val="left" w:pos="454"/>
          <w:tab w:val="left" w:pos="851"/>
        </w:tabs>
        <w:spacing w:line="360" w:lineRule="auto"/>
        <w:rPr>
          <w:rFonts w:ascii="Trebuchet MS" w:eastAsia="Times New Roman" w:hAnsi="Trebuchet MS"/>
          <w:szCs w:val="20"/>
          <w:lang w:eastAsia="de-DE"/>
        </w:rPr>
      </w:pPr>
    </w:p>
    <w:p w:rsidR="00D26195" w:rsidRPr="007E0395" w:rsidRDefault="00D26195" w:rsidP="00D26195">
      <w:pPr>
        <w:tabs>
          <w:tab w:val="left" w:pos="454"/>
          <w:tab w:val="left" w:pos="851"/>
        </w:tabs>
        <w:spacing w:line="360" w:lineRule="auto"/>
        <w:jc w:val="center"/>
        <w:rPr>
          <w:rFonts w:ascii="Trebuchet MS" w:eastAsia="Times New Roman" w:hAnsi="Trebuchet MS"/>
          <w:b/>
          <w:sz w:val="28"/>
          <w:szCs w:val="28"/>
          <w:lang w:eastAsia="de-DE"/>
        </w:rPr>
      </w:pPr>
      <w:r w:rsidRPr="007E0395">
        <w:rPr>
          <w:rFonts w:ascii="Trebuchet MS" w:eastAsia="Times New Roman" w:hAnsi="Trebuchet MS"/>
          <w:b/>
          <w:sz w:val="28"/>
          <w:szCs w:val="28"/>
          <w:lang w:eastAsia="de-DE"/>
        </w:rPr>
        <w:t>Stellungnahme</w:t>
      </w:r>
    </w:p>
    <w:p w:rsidR="00D26195" w:rsidRPr="007E0395" w:rsidRDefault="00D26195" w:rsidP="00D26195">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der</w:t>
      </w:r>
    </w:p>
    <w:p w:rsidR="00D26195" w:rsidRPr="007E0395" w:rsidRDefault="00D26195" w:rsidP="00D26195">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Bundesarbeitsgemeinschaft Selbsthilfe von Menschen mit</w:t>
      </w:r>
    </w:p>
    <w:p w:rsidR="00D26195" w:rsidRPr="007E0395" w:rsidRDefault="00D26195" w:rsidP="00D26195">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Behinderung und chronischer Erkrankung und ihren Angehörigen e. V.</w:t>
      </w:r>
    </w:p>
    <w:p w:rsidR="00D26195" w:rsidRPr="007E0395" w:rsidRDefault="00D26195" w:rsidP="00D26195">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(BAG SELBSTHILFE)</w:t>
      </w:r>
    </w:p>
    <w:p w:rsidR="00D26195" w:rsidRPr="007E0395" w:rsidRDefault="00D26195" w:rsidP="00D26195">
      <w:pPr>
        <w:tabs>
          <w:tab w:val="left" w:pos="454"/>
          <w:tab w:val="left" w:pos="851"/>
        </w:tabs>
        <w:spacing w:line="360" w:lineRule="auto"/>
        <w:jc w:val="center"/>
        <w:rPr>
          <w:rFonts w:ascii="Trebuchet MS" w:eastAsia="Times New Roman" w:hAnsi="Trebuchet MS"/>
          <w:b/>
          <w:bCs/>
          <w:sz w:val="12"/>
          <w:szCs w:val="12"/>
          <w:lang w:eastAsia="de-DE"/>
        </w:rPr>
      </w:pPr>
    </w:p>
    <w:p w:rsidR="00D26195" w:rsidRDefault="00D26195" w:rsidP="00D26195">
      <w:pPr>
        <w:tabs>
          <w:tab w:val="left" w:pos="454"/>
          <w:tab w:val="left" w:pos="851"/>
        </w:tabs>
        <w:spacing w:line="360" w:lineRule="auto"/>
        <w:jc w:val="center"/>
        <w:rPr>
          <w:rFonts w:ascii="Trebuchet MS" w:eastAsia="Times New Roman" w:hAnsi="Trebuchet MS"/>
          <w:b/>
          <w:bCs/>
          <w:lang w:eastAsia="de-DE"/>
        </w:rPr>
      </w:pPr>
      <w:r>
        <w:rPr>
          <w:rFonts w:ascii="Trebuchet MS" w:eastAsia="Times New Roman" w:hAnsi="Trebuchet MS"/>
          <w:b/>
          <w:bCs/>
          <w:lang w:eastAsia="de-DE"/>
        </w:rPr>
        <w:t>zum</w:t>
      </w:r>
    </w:p>
    <w:p w:rsidR="00D26195" w:rsidRPr="007E0395" w:rsidRDefault="00D26195" w:rsidP="00D26195">
      <w:pPr>
        <w:tabs>
          <w:tab w:val="left" w:pos="454"/>
          <w:tab w:val="left" w:pos="851"/>
        </w:tabs>
        <w:spacing w:line="360" w:lineRule="auto"/>
        <w:jc w:val="center"/>
        <w:rPr>
          <w:rFonts w:ascii="Trebuchet MS" w:eastAsia="Times New Roman" w:hAnsi="Trebuchet MS"/>
          <w:b/>
          <w:bCs/>
          <w:sz w:val="12"/>
          <w:szCs w:val="12"/>
          <w:lang w:eastAsia="de-DE"/>
        </w:rPr>
      </w:pPr>
    </w:p>
    <w:p w:rsidR="00D26195" w:rsidRPr="007E0395" w:rsidRDefault="00D26195" w:rsidP="00D26195">
      <w:pPr>
        <w:tabs>
          <w:tab w:val="left" w:pos="454"/>
          <w:tab w:val="left" w:pos="851"/>
        </w:tabs>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Entwurf</w:t>
      </w:r>
    </w:p>
    <w:p w:rsidR="00D26195" w:rsidRPr="007E0395" w:rsidRDefault="00D26195" w:rsidP="00D26195">
      <w:pPr>
        <w:tabs>
          <w:tab w:val="left" w:pos="454"/>
          <w:tab w:val="left" w:pos="851"/>
        </w:tabs>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einer Verordnung über die Schlichtungsstelle nach § 16 des Behindertengleichstellungsgesetzes und ihr Verfahren und zur Änderung weiterer Verordnungen</w:t>
      </w:r>
    </w:p>
    <w:p w:rsidR="00D26195" w:rsidRPr="007E0395" w:rsidRDefault="00D26195" w:rsidP="00D26195">
      <w:pPr>
        <w:tabs>
          <w:tab w:val="left" w:pos="454"/>
          <w:tab w:val="left" w:pos="851"/>
        </w:tabs>
        <w:spacing w:line="360" w:lineRule="auto"/>
        <w:jc w:val="center"/>
        <w:rPr>
          <w:rFonts w:ascii="Trebuchet MS" w:eastAsia="Times New Roman" w:hAnsi="Trebuchet MS"/>
          <w:b/>
          <w:sz w:val="26"/>
          <w:szCs w:val="26"/>
          <w:lang w:eastAsia="de-DE"/>
        </w:rPr>
      </w:pPr>
    </w:p>
    <w:p w:rsidR="00D26195" w:rsidRPr="007E0395" w:rsidRDefault="00D26195" w:rsidP="00D26195">
      <w:pPr>
        <w:tabs>
          <w:tab w:val="left" w:pos="454"/>
          <w:tab w:val="left" w:pos="851"/>
        </w:tabs>
        <w:spacing w:line="360" w:lineRule="auto"/>
        <w:jc w:val="center"/>
        <w:rPr>
          <w:rFonts w:ascii="Trebuchet MS" w:eastAsia="Times New Roman" w:hAnsi="Trebuchet MS"/>
          <w:b/>
          <w:sz w:val="26"/>
          <w:szCs w:val="26"/>
          <w:u w:val="single"/>
          <w:lang w:eastAsia="de-DE"/>
        </w:rPr>
      </w:pPr>
      <w:r w:rsidRPr="007E0395">
        <w:rPr>
          <w:rFonts w:ascii="Trebuchet MS" w:eastAsia="Times New Roman" w:hAnsi="Trebuchet MS"/>
          <w:b/>
          <w:sz w:val="26"/>
          <w:szCs w:val="26"/>
          <w:u w:val="single"/>
          <w:lang w:eastAsia="de-DE"/>
        </w:rPr>
        <w:t xml:space="preserve">Az.: </w:t>
      </w:r>
      <w:r>
        <w:rPr>
          <w:rFonts w:ascii="Trebuchet MS" w:eastAsia="Times New Roman" w:hAnsi="Trebuchet MS"/>
          <w:b/>
          <w:sz w:val="26"/>
          <w:szCs w:val="26"/>
          <w:u w:val="single"/>
          <w:lang w:eastAsia="de-DE"/>
        </w:rPr>
        <w:t>Va1-58009-17</w:t>
      </w:r>
    </w:p>
    <w:p w:rsidR="00D26195" w:rsidRDefault="00D26195" w:rsidP="00D26195">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ab/>
      </w:r>
    </w:p>
    <w:p w:rsidR="00D26195" w:rsidRDefault="00D26195" w:rsidP="00D26195">
      <w:pPr>
        <w:spacing w:line="360" w:lineRule="auto"/>
        <w:jc w:val="both"/>
        <w:rPr>
          <w:rFonts w:ascii="Trebuchet MS" w:hAnsi="Trebuchet MS"/>
        </w:rPr>
      </w:pPr>
    </w:p>
    <w:p w:rsidR="00F4135C" w:rsidRDefault="00F4135C" w:rsidP="00D26195">
      <w:pPr>
        <w:spacing w:line="360" w:lineRule="auto"/>
        <w:jc w:val="both"/>
        <w:rPr>
          <w:rFonts w:ascii="Trebuchet MS" w:hAnsi="Trebuchet MS"/>
        </w:rPr>
      </w:pPr>
    </w:p>
    <w:p w:rsidR="00D26195" w:rsidRDefault="00D26195" w:rsidP="00D26195">
      <w:pPr>
        <w:spacing w:line="360" w:lineRule="auto"/>
        <w:jc w:val="both"/>
        <w:rPr>
          <w:rFonts w:ascii="Trebuchet MS" w:hAnsi="Trebuchet MS"/>
        </w:rPr>
      </w:pPr>
      <w:r>
        <w:rPr>
          <w:rFonts w:ascii="Trebuchet MS" w:hAnsi="Trebuchet MS"/>
        </w:rPr>
        <w:t xml:space="preserve">Als Dachverband von 121 Bundesverbänden der Selbsthilfe chronisch kranker und behinderter Menschen sowie von 13 Landesarbeitsgemeinschaften begrüßt </w:t>
      </w:r>
      <w:r w:rsidR="000B086F">
        <w:rPr>
          <w:rFonts w:ascii="Trebuchet MS" w:hAnsi="Trebuchet MS"/>
        </w:rPr>
        <w:t xml:space="preserve">die BAG SELBSTHILFE den vorliegenden Entwurf einer Verordnung über die Schlichtungs-stelle nach § 16 des Behindertengleichstellungsgesetz (Artikel 1) sowie die vorgeschlagene Änderung der Kommunikationshilfeverordnung (Artikel 2) sowie der Verordnung über barrierefreie Dokumente in der Bundesverwaltung (Artikel 3) und der Barrierefreie-Informationstechnik-Verordnung (Artikel 4) vom Grundsatz her. Folgende Überarbeitungen bzw. Klarstellungen halten wir jedoch für erforderlich: </w:t>
      </w:r>
    </w:p>
    <w:p w:rsidR="000B086F" w:rsidRDefault="000B086F" w:rsidP="00D26195">
      <w:pPr>
        <w:spacing w:line="360" w:lineRule="auto"/>
        <w:jc w:val="both"/>
        <w:rPr>
          <w:rFonts w:ascii="Trebuchet MS" w:hAnsi="Trebuchet MS"/>
        </w:rPr>
      </w:pPr>
    </w:p>
    <w:p w:rsidR="000B086F" w:rsidRDefault="000B086F" w:rsidP="00D26195">
      <w:pPr>
        <w:spacing w:line="360" w:lineRule="auto"/>
        <w:jc w:val="both"/>
        <w:rPr>
          <w:rFonts w:ascii="Trebuchet MS" w:hAnsi="Trebuchet MS"/>
        </w:rPr>
      </w:pPr>
    </w:p>
    <w:p w:rsidR="00EF1F58" w:rsidRDefault="000B086F" w:rsidP="00D26195">
      <w:pPr>
        <w:spacing w:line="360" w:lineRule="auto"/>
        <w:jc w:val="both"/>
        <w:rPr>
          <w:rFonts w:ascii="Trebuchet MS" w:hAnsi="Trebuchet MS"/>
          <w:b/>
        </w:rPr>
      </w:pPr>
      <w:r w:rsidRPr="000B086F">
        <w:rPr>
          <w:rFonts w:ascii="Trebuchet MS" w:hAnsi="Trebuchet MS"/>
          <w:b/>
        </w:rPr>
        <w:lastRenderedPageBreak/>
        <w:t>Zu Artikel 1</w:t>
      </w:r>
      <w:r>
        <w:rPr>
          <w:rFonts w:ascii="Trebuchet MS" w:hAnsi="Trebuchet MS"/>
          <w:b/>
        </w:rPr>
        <w:t xml:space="preserve"> (Behindertengleichstellungsschlichtungsverordnung – BGSV)</w:t>
      </w:r>
      <w:r w:rsidRPr="000B086F">
        <w:rPr>
          <w:rFonts w:ascii="Trebuchet MS" w:hAnsi="Trebuchet MS"/>
          <w:b/>
        </w:rPr>
        <w:t>:</w:t>
      </w:r>
    </w:p>
    <w:p w:rsidR="00396B99" w:rsidRPr="00B76980" w:rsidRDefault="00396B99" w:rsidP="00D26195">
      <w:pPr>
        <w:spacing w:line="360" w:lineRule="auto"/>
        <w:jc w:val="both"/>
        <w:rPr>
          <w:rFonts w:ascii="Trebuchet MS" w:hAnsi="Trebuchet MS"/>
          <w:b/>
          <w:sz w:val="12"/>
          <w:szCs w:val="12"/>
        </w:rPr>
      </w:pPr>
    </w:p>
    <w:p w:rsidR="00F008B9" w:rsidRDefault="00F008B9" w:rsidP="00D26195">
      <w:pPr>
        <w:spacing w:line="360" w:lineRule="auto"/>
        <w:jc w:val="both"/>
        <w:rPr>
          <w:rFonts w:ascii="Trebuchet MS" w:hAnsi="Trebuchet MS"/>
        </w:rPr>
      </w:pPr>
      <w:r>
        <w:rPr>
          <w:rFonts w:ascii="Trebuchet MS" w:hAnsi="Trebuchet MS"/>
        </w:rPr>
        <w:t xml:space="preserve">Es wird vorgeschlagen, </w:t>
      </w:r>
      <w:r w:rsidRPr="00396B99">
        <w:rPr>
          <w:rFonts w:ascii="Trebuchet MS" w:hAnsi="Trebuchet MS"/>
          <w:b/>
        </w:rPr>
        <w:t>§ 8</w:t>
      </w:r>
      <w:r>
        <w:rPr>
          <w:rFonts w:ascii="Trebuchet MS" w:hAnsi="Trebuchet MS"/>
        </w:rPr>
        <w:t xml:space="preserve"> dahingehend zu präzisieren, dass den Beteiligten die </w:t>
      </w:r>
      <w:r w:rsidR="00EF1F58">
        <w:rPr>
          <w:rFonts w:ascii="Trebuchet MS" w:hAnsi="Trebuchet MS"/>
        </w:rPr>
        <w:t xml:space="preserve">verschiedenen </w:t>
      </w:r>
      <w:r>
        <w:rPr>
          <w:rFonts w:ascii="Trebuchet MS" w:hAnsi="Trebuchet MS"/>
        </w:rPr>
        <w:t>Verfahren (Schlichtung und Mediation</w:t>
      </w:r>
      <w:r w:rsidR="00EF1F58">
        <w:rPr>
          <w:rFonts w:ascii="Trebuchet MS" w:hAnsi="Trebuchet MS"/>
        </w:rPr>
        <w:t>, aber auch das gerichtliche Klageverfahren</w:t>
      </w:r>
      <w:r>
        <w:rPr>
          <w:rFonts w:ascii="Trebuchet MS" w:hAnsi="Trebuchet MS"/>
        </w:rPr>
        <w:t xml:space="preserve">) </w:t>
      </w:r>
      <w:r w:rsidR="00EF1F58">
        <w:rPr>
          <w:rFonts w:ascii="Trebuchet MS" w:hAnsi="Trebuchet MS"/>
        </w:rPr>
        <w:t xml:space="preserve">kurz </w:t>
      </w:r>
      <w:r>
        <w:rPr>
          <w:rFonts w:ascii="Trebuchet MS" w:hAnsi="Trebuchet MS"/>
        </w:rPr>
        <w:t>vorgestellt und die unterschiedliche Herangehensweise bzw. Lösungsfindung</w:t>
      </w:r>
      <w:r w:rsidR="00EF1F58">
        <w:rPr>
          <w:rFonts w:ascii="Trebuchet MS" w:hAnsi="Trebuchet MS"/>
        </w:rPr>
        <w:t xml:space="preserve"> (einschließlich der Folgen im Falle eines Scheiterns des Verfahrens)</w:t>
      </w:r>
      <w:r>
        <w:rPr>
          <w:rFonts w:ascii="Trebuchet MS" w:hAnsi="Trebuchet MS"/>
        </w:rPr>
        <w:t xml:space="preserve"> erläutert wird. Die </w:t>
      </w:r>
      <w:r w:rsidR="00EF1F58">
        <w:rPr>
          <w:rFonts w:ascii="Trebuchet MS" w:hAnsi="Trebuchet MS"/>
        </w:rPr>
        <w:t>im Entwurf vorgeschlagene</w:t>
      </w:r>
      <w:r>
        <w:rPr>
          <w:rFonts w:ascii="Trebuchet MS" w:hAnsi="Trebuchet MS"/>
        </w:rPr>
        <w:t xml:space="preserve"> Formulierung</w:t>
      </w:r>
      <w:r w:rsidR="00EF1F58">
        <w:rPr>
          <w:rFonts w:ascii="Trebuchet MS" w:hAnsi="Trebuchet MS"/>
        </w:rPr>
        <w:t xml:space="preserve"> (Abs. 1 Satz 3)</w:t>
      </w:r>
      <w:r>
        <w:rPr>
          <w:rFonts w:ascii="Trebuchet MS" w:hAnsi="Trebuchet MS"/>
        </w:rPr>
        <w:t xml:space="preserve"> ermöglicht es der schlichtenden Person</w:t>
      </w:r>
      <w:r w:rsidR="00EF1F58">
        <w:rPr>
          <w:rFonts w:ascii="Trebuchet MS" w:hAnsi="Trebuchet MS"/>
        </w:rPr>
        <w:t xml:space="preserve"> selbst zu entscheiden, welcher</w:t>
      </w:r>
      <w:r>
        <w:rPr>
          <w:rFonts w:ascii="Trebuchet MS" w:hAnsi="Trebuchet MS"/>
        </w:rPr>
        <w:t xml:space="preserve"> </w:t>
      </w:r>
      <w:r w:rsidR="00EF1F58">
        <w:rPr>
          <w:rFonts w:ascii="Trebuchet MS" w:hAnsi="Trebuchet MS"/>
        </w:rPr>
        <w:t xml:space="preserve">Weg der Streitbeilegung genommen wird. Wichtig ist in diesem Zusammenhang auch, dass kein vorzeitiger Lösungsvorschlag seitens der schlichtenden Person ergeht, da hierdurch die eigene Lösungsfindung durch die Parteien im Falle einer Mediation beeinflusst werden kann; das würde dem Wesen der Mediation und eines entsprechenden Erfolges </w:t>
      </w:r>
      <w:r w:rsidR="000B086F">
        <w:rPr>
          <w:rFonts w:ascii="Trebuchet MS" w:hAnsi="Trebuchet MS"/>
        </w:rPr>
        <w:t>indessen</w:t>
      </w:r>
      <w:r w:rsidR="00EF1F58">
        <w:rPr>
          <w:rFonts w:ascii="Trebuchet MS" w:hAnsi="Trebuchet MS"/>
        </w:rPr>
        <w:t xml:space="preserve"> von vornherein entgegenstehen.</w:t>
      </w:r>
    </w:p>
    <w:p w:rsidR="00396B99" w:rsidRPr="00B76980" w:rsidRDefault="00396B99" w:rsidP="00D26195">
      <w:pPr>
        <w:spacing w:line="360" w:lineRule="auto"/>
        <w:jc w:val="both"/>
        <w:rPr>
          <w:rFonts w:ascii="Trebuchet MS" w:hAnsi="Trebuchet MS"/>
          <w:sz w:val="12"/>
          <w:szCs w:val="12"/>
        </w:rPr>
      </w:pPr>
    </w:p>
    <w:p w:rsidR="00396B99" w:rsidRDefault="00396B99" w:rsidP="00D26195">
      <w:pPr>
        <w:spacing w:line="360" w:lineRule="auto"/>
        <w:jc w:val="both"/>
        <w:rPr>
          <w:rFonts w:ascii="Trebuchet MS" w:hAnsi="Trebuchet MS"/>
        </w:rPr>
      </w:pPr>
      <w:r>
        <w:rPr>
          <w:rFonts w:ascii="Trebuchet MS" w:hAnsi="Trebuchet MS"/>
        </w:rPr>
        <w:t xml:space="preserve">Darüber hinaus ist bei </w:t>
      </w:r>
      <w:r w:rsidRPr="00396B99">
        <w:rPr>
          <w:rFonts w:ascii="Trebuchet MS" w:hAnsi="Trebuchet MS"/>
          <w:b/>
        </w:rPr>
        <w:t>§ 11</w:t>
      </w:r>
      <w:r>
        <w:rPr>
          <w:rFonts w:ascii="Trebuchet MS" w:hAnsi="Trebuchet MS"/>
        </w:rPr>
        <w:t xml:space="preserve"> klarzustellen, dass nicht nur hör-, sprach- und sehbehinderte Menschen Schwierigkeiten bei der Kommunikation haben, wie der Verweis auf die Kommunikationshilfeverordnung und die Verordnung über barrierefreie Dokumente in der Bundesverwaltung suggeriert. Auch Menschen mit geistiger Behinderung haben häufig Probleme, komplexe Formulierungen zu verstehen. Zur Sicherstellung einer barrierefreien Kommunikation ist es daher erforderlich, Texte und Verfahrensabläufe in sog. „leichter Sprache“ zu erläutern, wenn ein entsprechender Bedarf besteht.</w:t>
      </w:r>
    </w:p>
    <w:p w:rsidR="00396B99" w:rsidRPr="00B76980" w:rsidRDefault="00396B99" w:rsidP="00D26195">
      <w:pPr>
        <w:spacing w:line="360" w:lineRule="auto"/>
        <w:jc w:val="both"/>
        <w:rPr>
          <w:rFonts w:ascii="Trebuchet MS" w:hAnsi="Trebuchet MS"/>
          <w:sz w:val="12"/>
          <w:szCs w:val="12"/>
        </w:rPr>
      </w:pPr>
    </w:p>
    <w:p w:rsidR="00396B99" w:rsidRDefault="00396B99" w:rsidP="00D26195">
      <w:pPr>
        <w:spacing w:line="360" w:lineRule="auto"/>
        <w:jc w:val="both"/>
        <w:rPr>
          <w:rFonts w:ascii="Trebuchet MS" w:hAnsi="Trebuchet MS"/>
        </w:rPr>
      </w:pPr>
      <w:r>
        <w:rPr>
          <w:rFonts w:ascii="Trebuchet MS" w:hAnsi="Trebuchet MS"/>
        </w:rPr>
        <w:t>Die „Leichte Sprache“ ist eine speziell geregelte sprachliche Ausdrucksweise, die auf besonders leichte Verständlichkeit abzielt. Sie ermöglicht eine barrierefreie Kommunikation für Menschen mit kognitiven Beeinträchtigungen. Das Regelwerk wird von dem seit 2006 bestehenden Netzwerk Leichte Sprache herausgegeben.</w:t>
      </w:r>
    </w:p>
    <w:p w:rsidR="006D37FF" w:rsidRPr="00B76980" w:rsidRDefault="006D37FF" w:rsidP="00D26195">
      <w:pPr>
        <w:spacing w:line="360" w:lineRule="auto"/>
        <w:jc w:val="both"/>
        <w:rPr>
          <w:rFonts w:ascii="Trebuchet MS" w:hAnsi="Trebuchet MS"/>
          <w:sz w:val="12"/>
          <w:szCs w:val="12"/>
        </w:rPr>
      </w:pPr>
    </w:p>
    <w:p w:rsidR="006D37FF" w:rsidRDefault="006D37FF" w:rsidP="00D26195">
      <w:pPr>
        <w:spacing w:line="360" w:lineRule="auto"/>
        <w:jc w:val="both"/>
        <w:rPr>
          <w:rFonts w:ascii="Trebuchet MS" w:hAnsi="Trebuchet MS"/>
        </w:rPr>
      </w:pPr>
      <w:r>
        <w:rPr>
          <w:rFonts w:ascii="Trebuchet MS" w:hAnsi="Trebuchet MS"/>
        </w:rPr>
        <w:t>Im Übrigen wird vorgeschlagen, den Begriff der Barrierefreiheit in der Schlichtun</w:t>
      </w:r>
      <w:r w:rsidR="00B76980">
        <w:rPr>
          <w:rFonts w:ascii="Trebuchet MS" w:hAnsi="Trebuchet MS"/>
        </w:rPr>
        <w:t>gs-verordnung, insbesondere in den §§ 5, 8, 9 und 11, ausdrücklich zu verankern, so dass beispielsweise der Antrag auf Einleitung eines Schlichtungsverfahrens, die Durchführung des Verfahrens und die spätere Abschlussvereinbarung zugleich auch in der Weise ausgestaltet werden, wie es angesichts der (etwaigen) Behinderungen der betroffenen Parteien erforderlich ist.</w:t>
      </w:r>
    </w:p>
    <w:p w:rsidR="00B76980" w:rsidRDefault="00B76980" w:rsidP="00D26195">
      <w:pPr>
        <w:spacing w:line="360" w:lineRule="auto"/>
        <w:jc w:val="both"/>
        <w:rPr>
          <w:rFonts w:ascii="Trebuchet MS" w:hAnsi="Trebuchet MS"/>
        </w:rPr>
      </w:pPr>
    </w:p>
    <w:p w:rsidR="00B76980" w:rsidRDefault="00B76980" w:rsidP="00D26195">
      <w:pPr>
        <w:spacing w:line="360" w:lineRule="auto"/>
        <w:jc w:val="both"/>
        <w:rPr>
          <w:rFonts w:ascii="Trebuchet MS" w:hAnsi="Trebuchet MS"/>
        </w:rPr>
      </w:pPr>
    </w:p>
    <w:p w:rsidR="00F4135C" w:rsidRDefault="00F4135C" w:rsidP="00D26195">
      <w:pPr>
        <w:spacing w:line="360" w:lineRule="auto"/>
        <w:jc w:val="both"/>
        <w:rPr>
          <w:rFonts w:ascii="Trebuchet MS" w:hAnsi="Trebuchet MS"/>
        </w:rPr>
      </w:pPr>
    </w:p>
    <w:p w:rsidR="000B086F" w:rsidRPr="00521A35" w:rsidRDefault="000B086F" w:rsidP="00D26195">
      <w:pPr>
        <w:spacing w:line="360" w:lineRule="auto"/>
        <w:jc w:val="both"/>
        <w:rPr>
          <w:rFonts w:ascii="Trebuchet MS" w:hAnsi="Trebuchet MS"/>
          <w:b/>
        </w:rPr>
      </w:pPr>
      <w:r w:rsidRPr="00521A35">
        <w:rPr>
          <w:rFonts w:ascii="Trebuchet MS" w:hAnsi="Trebuchet MS"/>
          <w:b/>
        </w:rPr>
        <w:lastRenderedPageBreak/>
        <w:t>Zu Artikel 2 (Kommunikationshilfeverordnung):</w:t>
      </w:r>
    </w:p>
    <w:p w:rsidR="000B086F" w:rsidRPr="00521A35" w:rsidRDefault="000B086F" w:rsidP="00D26195">
      <w:pPr>
        <w:spacing w:line="360" w:lineRule="auto"/>
        <w:jc w:val="both"/>
        <w:rPr>
          <w:rFonts w:ascii="Trebuchet MS" w:hAnsi="Trebuchet MS"/>
          <w:sz w:val="6"/>
          <w:szCs w:val="6"/>
        </w:rPr>
      </w:pPr>
    </w:p>
    <w:p w:rsidR="003D12E8" w:rsidRDefault="003D12E8" w:rsidP="00F13BA9">
      <w:pPr>
        <w:spacing w:line="360" w:lineRule="auto"/>
        <w:jc w:val="both"/>
        <w:rPr>
          <w:rFonts w:ascii="Trebuchet MS" w:hAnsi="Trebuchet MS"/>
        </w:rPr>
      </w:pPr>
      <w:r>
        <w:rPr>
          <w:rFonts w:ascii="Trebuchet MS" w:hAnsi="Trebuchet MS"/>
        </w:rPr>
        <w:t xml:space="preserve">Es wird empfohlen, den Begriff des „Gebärdensprachdolmetschers“ in den </w:t>
      </w:r>
      <w:r w:rsidRPr="002F5976">
        <w:rPr>
          <w:rFonts w:ascii="Trebuchet MS" w:hAnsi="Trebuchet MS"/>
          <w:b/>
        </w:rPr>
        <w:t>§§ 2</w:t>
      </w:r>
      <w:r w:rsidR="002F5976">
        <w:rPr>
          <w:rFonts w:ascii="Trebuchet MS" w:hAnsi="Trebuchet MS"/>
          <w:b/>
        </w:rPr>
        <w:t>, 3</w:t>
      </w:r>
      <w:r w:rsidRPr="002F5976">
        <w:rPr>
          <w:rFonts w:ascii="Trebuchet MS" w:hAnsi="Trebuchet MS"/>
          <w:b/>
        </w:rPr>
        <w:t xml:space="preserve"> </w:t>
      </w:r>
      <w:r w:rsidRPr="002F5976">
        <w:rPr>
          <w:rFonts w:ascii="Trebuchet MS" w:hAnsi="Trebuchet MS"/>
        </w:rPr>
        <w:t>und</w:t>
      </w:r>
      <w:r w:rsidRPr="002F5976">
        <w:rPr>
          <w:rFonts w:ascii="Trebuchet MS" w:hAnsi="Trebuchet MS"/>
          <w:b/>
        </w:rPr>
        <w:t xml:space="preserve"> </w:t>
      </w:r>
      <w:r w:rsidR="002F5976">
        <w:rPr>
          <w:rFonts w:ascii="Trebuchet MS" w:hAnsi="Trebuchet MS"/>
          <w:b/>
        </w:rPr>
        <w:t>5</w:t>
      </w:r>
      <w:r>
        <w:rPr>
          <w:rFonts w:ascii="Trebuchet MS" w:hAnsi="Trebuchet MS"/>
        </w:rPr>
        <w:t xml:space="preserve"> beizubehalten und ihn nicht durch den </w:t>
      </w:r>
      <w:r w:rsidR="00F13BA9">
        <w:rPr>
          <w:rFonts w:ascii="Trebuchet MS" w:hAnsi="Trebuchet MS"/>
        </w:rPr>
        <w:t>übergeordneten</w:t>
      </w:r>
      <w:r>
        <w:rPr>
          <w:rFonts w:ascii="Trebuchet MS" w:hAnsi="Trebuchet MS"/>
        </w:rPr>
        <w:t xml:space="preserve"> Begriff der „Kommunikationshilfe“ zu ersetzen</w:t>
      </w:r>
      <w:r w:rsidR="002F5976">
        <w:rPr>
          <w:rFonts w:ascii="Trebuchet MS" w:hAnsi="Trebuchet MS"/>
        </w:rPr>
        <w:t xml:space="preserve">. </w:t>
      </w:r>
      <w:r w:rsidR="00F13BA9">
        <w:rPr>
          <w:rFonts w:ascii="Trebuchet MS" w:hAnsi="Trebuchet MS"/>
        </w:rPr>
        <w:t>Vielmehr würde eine</w:t>
      </w:r>
      <w:r w:rsidR="002F5976">
        <w:rPr>
          <w:rFonts w:ascii="Trebuchet MS" w:hAnsi="Trebuchet MS"/>
        </w:rPr>
        <w:t xml:space="preserve"> weiterhin ausdrückliche Benennung ihrem</w:t>
      </w:r>
      <w:r w:rsidR="000F27C2">
        <w:rPr>
          <w:rFonts w:ascii="Trebuchet MS" w:hAnsi="Trebuchet MS"/>
        </w:rPr>
        <w:t xml:space="preserve"> </w:t>
      </w:r>
      <w:r>
        <w:rPr>
          <w:rFonts w:ascii="Trebuchet MS" w:hAnsi="Trebuchet MS"/>
        </w:rPr>
        <w:t>hohen Stellenwert als besondere Kommunikationshilfe</w:t>
      </w:r>
      <w:r w:rsidR="002F5976">
        <w:rPr>
          <w:rFonts w:ascii="Trebuchet MS" w:hAnsi="Trebuchet MS"/>
        </w:rPr>
        <w:t xml:space="preserve"> </w:t>
      </w:r>
      <w:r w:rsidR="00F13BA9">
        <w:rPr>
          <w:rFonts w:ascii="Trebuchet MS" w:hAnsi="Trebuchet MS"/>
        </w:rPr>
        <w:t xml:space="preserve">besser </w:t>
      </w:r>
      <w:r w:rsidR="002F5976">
        <w:rPr>
          <w:rFonts w:ascii="Trebuchet MS" w:hAnsi="Trebuchet MS"/>
        </w:rPr>
        <w:t>gerecht werden. N</w:t>
      </w:r>
      <w:r>
        <w:rPr>
          <w:rFonts w:ascii="Trebuchet MS" w:hAnsi="Trebuchet MS"/>
        </w:rPr>
        <w:t xml:space="preserve">icht zuletzt </w:t>
      </w:r>
      <w:r w:rsidR="002F5976">
        <w:rPr>
          <w:rFonts w:ascii="Trebuchet MS" w:hAnsi="Trebuchet MS"/>
        </w:rPr>
        <w:t>hebt</w:t>
      </w:r>
      <w:r>
        <w:rPr>
          <w:rFonts w:ascii="Trebuchet MS" w:hAnsi="Trebuchet MS"/>
        </w:rPr>
        <w:t xml:space="preserve"> auch Art. 2 der UN-Behindertenrechts</w:t>
      </w:r>
      <w:r w:rsidR="00F13BA9">
        <w:rPr>
          <w:rFonts w:ascii="Trebuchet MS" w:hAnsi="Trebuchet MS"/>
        </w:rPr>
        <w:t>-</w:t>
      </w:r>
      <w:r>
        <w:rPr>
          <w:rFonts w:ascii="Trebuchet MS" w:hAnsi="Trebuchet MS"/>
        </w:rPr>
        <w:t xml:space="preserve">konvention die Gleichwertigkeit zwischen Gebärdensprache mit ihrer visuellen Modalität und der Lautsprache mit ihrer auditiven Modalität </w:t>
      </w:r>
      <w:r w:rsidR="002F5976">
        <w:rPr>
          <w:rFonts w:ascii="Trebuchet MS" w:hAnsi="Trebuchet MS"/>
        </w:rPr>
        <w:t xml:space="preserve">ausdrücklich </w:t>
      </w:r>
      <w:r>
        <w:rPr>
          <w:rFonts w:ascii="Trebuchet MS" w:hAnsi="Trebuchet MS"/>
        </w:rPr>
        <w:t>hervor. Für eine Beibehaltung spricht</w:t>
      </w:r>
      <w:r w:rsidR="002F5976">
        <w:rPr>
          <w:rFonts w:ascii="Trebuchet MS" w:hAnsi="Trebuchet MS"/>
        </w:rPr>
        <w:t xml:space="preserve"> ferner</w:t>
      </w:r>
      <w:r>
        <w:rPr>
          <w:rFonts w:ascii="Trebuchet MS" w:hAnsi="Trebuchet MS"/>
        </w:rPr>
        <w:t xml:space="preserve"> auch die Tatsache, dass das Behinderten</w:t>
      </w:r>
      <w:r w:rsidR="00F13BA9">
        <w:rPr>
          <w:rFonts w:ascii="Trebuchet MS" w:hAnsi="Trebuchet MS"/>
        </w:rPr>
        <w:t>-</w:t>
      </w:r>
      <w:r>
        <w:rPr>
          <w:rFonts w:ascii="Trebuchet MS" w:hAnsi="Trebuchet MS"/>
        </w:rPr>
        <w:t>gleichstellungsgesetz</w:t>
      </w:r>
      <w:r w:rsidR="00F13BA9">
        <w:rPr>
          <w:rFonts w:ascii="Trebuchet MS" w:hAnsi="Trebuchet MS"/>
        </w:rPr>
        <w:t xml:space="preserve"> (BGG)</w:t>
      </w:r>
      <w:r>
        <w:rPr>
          <w:rFonts w:ascii="Trebuchet MS" w:hAnsi="Trebuchet MS"/>
        </w:rPr>
        <w:t xml:space="preserve"> </w:t>
      </w:r>
      <w:r w:rsidR="00F13BA9">
        <w:rPr>
          <w:rFonts w:ascii="Trebuchet MS" w:hAnsi="Trebuchet MS"/>
        </w:rPr>
        <w:t xml:space="preserve">in § 9 </w:t>
      </w:r>
      <w:r w:rsidR="000F27C2">
        <w:rPr>
          <w:rFonts w:ascii="Trebuchet MS" w:hAnsi="Trebuchet MS"/>
        </w:rPr>
        <w:t xml:space="preserve">die </w:t>
      </w:r>
      <w:r w:rsidR="00F13BA9">
        <w:rPr>
          <w:rFonts w:ascii="Trebuchet MS" w:hAnsi="Trebuchet MS"/>
        </w:rPr>
        <w:t xml:space="preserve">Deutsche </w:t>
      </w:r>
      <w:r w:rsidR="000F27C2">
        <w:rPr>
          <w:rFonts w:ascii="Trebuchet MS" w:hAnsi="Trebuchet MS"/>
        </w:rPr>
        <w:t>Gebärdensprache als eigenständige Sprache anerkennt und sie</w:t>
      </w:r>
      <w:r w:rsidR="00F13BA9">
        <w:rPr>
          <w:rFonts w:ascii="Trebuchet MS" w:hAnsi="Trebuchet MS"/>
        </w:rPr>
        <w:t xml:space="preserve"> neben „anderen geeigneten Kommunikations-hilfen“</w:t>
      </w:r>
      <w:r w:rsidR="000F27C2">
        <w:rPr>
          <w:rFonts w:ascii="Trebuchet MS" w:hAnsi="Trebuchet MS"/>
        </w:rPr>
        <w:t xml:space="preserve"> ausdrücklich benennt.</w:t>
      </w:r>
    </w:p>
    <w:p w:rsidR="002F5976" w:rsidRPr="00F13BA9" w:rsidRDefault="002F5976" w:rsidP="00D26195">
      <w:pPr>
        <w:spacing w:line="360" w:lineRule="auto"/>
        <w:jc w:val="both"/>
        <w:rPr>
          <w:rFonts w:ascii="Trebuchet MS" w:hAnsi="Trebuchet MS"/>
          <w:sz w:val="12"/>
          <w:szCs w:val="12"/>
        </w:rPr>
      </w:pPr>
    </w:p>
    <w:p w:rsidR="000F27C2" w:rsidRDefault="000F27C2" w:rsidP="00D26195">
      <w:pPr>
        <w:spacing w:line="360" w:lineRule="auto"/>
        <w:jc w:val="both"/>
        <w:rPr>
          <w:rFonts w:ascii="Trebuchet MS" w:hAnsi="Trebuchet MS"/>
        </w:rPr>
      </w:pPr>
      <w:r>
        <w:rPr>
          <w:rFonts w:ascii="Trebuchet MS" w:hAnsi="Trebuchet MS"/>
        </w:rPr>
        <w:t xml:space="preserve">Darüber hinaus wird es für erforderlich gehalten, auch die Taubblindenassistenz </w:t>
      </w:r>
      <w:r w:rsidR="00F13BA9">
        <w:rPr>
          <w:rFonts w:ascii="Trebuchet MS" w:hAnsi="Trebuchet MS"/>
        </w:rPr>
        <w:t xml:space="preserve">als Kommunikationshilfe bei </w:t>
      </w:r>
      <w:r w:rsidR="009715A0">
        <w:rPr>
          <w:rFonts w:ascii="Trebuchet MS" w:hAnsi="Trebuchet MS"/>
        </w:rPr>
        <w:t xml:space="preserve">den </w:t>
      </w:r>
      <w:r w:rsidR="009715A0" w:rsidRPr="00594F1D">
        <w:rPr>
          <w:rFonts w:ascii="Trebuchet MS" w:hAnsi="Trebuchet MS"/>
          <w:b/>
        </w:rPr>
        <w:t>§</w:t>
      </w:r>
      <w:r w:rsidR="00F13BA9" w:rsidRPr="00594F1D">
        <w:rPr>
          <w:rFonts w:ascii="Trebuchet MS" w:hAnsi="Trebuchet MS"/>
          <w:b/>
        </w:rPr>
        <w:t>§ 3</w:t>
      </w:r>
      <w:r w:rsidR="009715A0">
        <w:rPr>
          <w:rFonts w:ascii="Trebuchet MS" w:hAnsi="Trebuchet MS"/>
        </w:rPr>
        <w:t xml:space="preserve"> und </w:t>
      </w:r>
      <w:r w:rsidR="009715A0" w:rsidRPr="00594F1D">
        <w:rPr>
          <w:rFonts w:ascii="Trebuchet MS" w:hAnsi="Trebuchet MS"/>
          <w:b/>
        </w:rPr>
        <w:t>5</w:t>
      </w:r>
      <w:r w:rsidR="00F13BA9">
        <w:rPr>
          <w:rFonts w:ascii="Trebuchet MS" w:hAnsi="Trebuchet MS"/>
        </w:rPr>
        <w:t xml:space="preserve"> </w:t>
      </w:r>
      <w:r w:rsidR="009715A0">
        <w:rPr>
          <w:rFonts w:ascii="Trebuchet MS" w:hAnsi="Trebuchet MS"/>
        </w:rPr>
        <w:t>ausdrücklich</w:t>
      </w:r>
      <w:r w:rsidR="00F13BA9">
        <w:rPr>
          <w:rFonts w:ascii="Trebuchet MS" w:hAnsi="Trebuchet MS"/>
        </w:rPr>
        <w:t xml:space="preserve"> zu benennen. Auf diese Weise wird d</w:t>
      </w:r>
      <w:r w:rsidR="009715A0">
        <w:rPr>
          <w:rFonts w:ascii="Trebuchet MS" w:hAnsi="Trebuchet MS"/>
        </w:rPr>
        <w:t>er</w:t>
      </w:r>
      <w:r w:rsidR="00F13BA9">
        <w:rPr>
          <w:rFonts w:ascii="Trebuchet MS" w:hAnsi="Trebuchet MS"/>
        </w:rPr>
        <w:t xml:space="preserve"> bisher oft unberücksichtigt gebliebene</w:t>
      </w:r>
      <w:r w:rsidR="009715A0">
        <w:rPr>
          <w:rFonts w:ascii="Trebuchet MS" w:hAnsi="Trebuchet MS"/>
        </w:rPr>
        <w:t>n</w:t>
      </w:r>
      <w:r w:rsidR="00F13BA9">
        <w:rPr>
          <w:rFonts w:ascii="Trebuchet MS" w:hAnsi="Trebuchet MS"/>
        </w:rPr>
        <w:t xml:space="preserve"> Behinderungsart</w:t>
      </w:r>
      <w:r w:rsidR="009715A0">
        <w:rPr>
          <w:rFonts w:ascii="Trebuchet MS" w:hAnsi="Trebuchet MS"/>
        </w:rPr>
        <w:t>, die gegenüber der Gehörlosigkeit und Blindheit eine eigenständige Behinderungsform darstellt, mehr Gewicht verliehen, verbunden mit dem Ziel, dass taubblinde Menschen dann auch tatsächlich die für sie erforderliche Unterstützung erhalten und nicht auf für sie unzureichende Hilfen für Gehörlose oder Sehbehinderte verwiesen werden.</w:t>
      </w:r>
    </w:p>
    <w:p w:rsidR="003D12E8" w:rsidRPr="009715A0" w:rsidRDefault="003D12E8" w:rsidP="00D26195">
      <w:pPr>
        <w:spacing w:line="360" w:lineRule="auto"/>
        <w:jc w:val="both"/>
        <w:rPr>
          <w:rFonts w:ascii="Trebuchet MS" w:hAnsi="Trebuchet MS"/>
          <w:sz w:val="12"/>
          <w:szCs w:val="12"/>
        </w:rPr>
      </w:pPr>
    </w:p>
    <w:p w:rsidR="00396B99" w:rsidRDefault="002F5976" w:rsidP="00D26195">
      <w:pPr>
        <w:spacing w:line="360" w:lineRule="auto"/>
        <w:jc w:val="both"/>
        <w:rPr>
          <w:rFonts w:ascii="Trebuchet MS" w:hAnsi="Trebuchet MS"/>
        </w:rPr>
      </w:pPr>
      <w:r>
        <w:rPr>
          <w:rFonts w:ascii="Trebuchet MS" w:hAnsi="Trebuchet MS"/>
        </w:rPr>
        <w:t xml:space="preserve">Bei </w:t>
      </w:r>
      <w:r w:rsidRPr="00594F1D">
        <w:rPr>
          <w:rFonts w:ascii="Trebuchet MS" w:hAnsi="Trebuchet MS"/>
          <w:b/>
        </w:rPr>
        <w:t xml:space="preserve">§ 5 </w:t>
      </w:r>
      <w:r>
        <w:rPr>
          <w:rFonts w:ascii="Trebuchet MS" w:hAnsi="Trebuchet MS"/>
        </w:rPr>
        <w:t xml:space="preserve">wird </w:t>
      </w:r>
      <w:r w:rsidR="00594F1D">
        <w:rPr>
          <w:rFonts w:ascii="Trebuchet MS" w:hAnsi="Trebuchet MS"/>
        </w:rPr>
        <w:t xml:space="preserve">es </w:t>
      </w:r>
      <w:r>
        <w:rPr>
          <w:rFonts w:ascii="Trebuchet MS" w:hAnsi="Trebuchet MS"/>
        </w:rPr>
        <w:t>zudem</w:t>
      </w:r>
      <w:r w:rsidR="00594F1D">
        <w:rPr>
          <w:rFonts w:ascii="Trebuchet MS" w:hAnsi="Trebuchet MS"/>
        </w:rPr>
        <w:t xml:space="preserve"> für zweckmäßig erachtet,</w:t>
      </w:r>
      <w:r>
        <w:rPr>
          <w:rFonts w:ascii="Trebuchet MS" w:hAnsi="Trebuchet MS"/>
        </w:rPr>
        <w:t xml:space="preserve"> </w:t>
      </w:r>
      <w:r w:rsidR="00594F1D">
        <w:rPr>
          <w:rFonts w:ascii="Trebuchet MS" w:hAnsi="Trebuchet MS"/>
        </w:rPr>
        <w:t>das Berufsbild sowie die</w:t>
      </w:r>
      <w:r>
        <w:rPr>
          <w:rFonts w:ascii="Trebuchet MS" w:hAnsi="Trebuchet MS"/>
        </w:rPr>
        <w:t xml:space="preserve"> Arbeits</w:t>
      </w:r>
      <w:r w:rsidR="00594F1D">
        <w:rPr>
          <w:rFonts w:ascii="Trebuchet MS" w:hAnsi="Trebuchet MS"/>
        </w:rPr>
        <w:t>-</w:t>
      </w:r>
      <w:r>
        <w:rPr>
          <w:rFonts w:ascii="Trebuchet MS" w:hAnsi="Trebuchet MS"/>
        </w:rPr>
        <w:t xml:space="preserve">bereiche der Kommunikationsassistenten </w:t>
      </w:r>
      <w:r w:rsidR="00594F1D">
        <w:rPr>
          <w:rFonts w:ascii="Trebuchet MS" w:hAnsi="Trebuchet MS"/>
        </w:rPr>
        <w:t>näher zu beschreiben und klarzustellen</w:t>
      </w:r>
      <w:r>
        <w:rPr>
          <w:rFonts w:ascii="Trebuchet MS" w:hAnsi="Trebuchet MS"/>
        </w:rPr>
        <w:t xml:space="preserve">, inwieweit sich </w:t>
      </w:r>
      <w:r w:rsidR="00594F1D">
        <w:rPr>
          <w:rFonts w:ascii="Trebuchet MS" w:hAnsi="Trebuchet MS"/>
        </w:rPr>
        <w:t>die Tätigkeit von Kommunikationshelfer</w:t>
      </w:r>
      <w:r>
        <w:rPr>
          <w:rFonts w:ascii="Trebuchet MS" w:hAnsi="Trebuchet MS"/>
        </w:rPr>
        <w:t xml:space="preserve"> von der </w:t>
      </w:r>
      <w:r w:rsidR="00594F1D">
        <w:rPr>
          <w:rFonts w:ascii="Trebuchet MS" w:hAnsi="Trebuchet MS"/>
        </w:rPr>
        <w:t xml:space="preserve">Tätigkeit von </w:t>
      </w:r>
      <w:r>
        <w:rPr>
          <w:rFonts w:ascii="Trebuchet MS" w:hAnsi="Trebuchet MS"/>
        </w:rPr>
        <w:t>Gebärdensprachdolmetscher</w:t>
      </w:r>
      <w:r w:rsidR="00594F1D">
        <w:rPr>
          <w:rFonts w:ascii="Trebuchet MS" w:hAnsi="Trebuchet MS"/>
        </w:rPr>
        <w:t>n</w:t>
      </w:r>
      <w:r>
        <w:rPr>
          <w:rFonts w:ascii="Trebuchet MS" w:hAnsi="Trebuchet MS"/>
        </w:rPr>
        <w:t xml:space="preserve"> unterscheide</w:t>
      </w:r>
      <w:r w:rsidR="00594F1D">
        <w:rPr>
          <w:rFonts w:ascii="Trebuchet MS" w:hAnsi="Trebuchet MS"/>
        </w:rPr>
        <w:t>t. Soweit gem. Abs. 1b abweichende Rahmenvereinbarungen hinsichtlich der Vergütung getroffen werden, sollten die betreffenden Verbände von Menschen mit Behinderungen aus Gründen der Qualitätssicherung an der Erörterung beteiligt werden.</w:t>
      </w:r>
    </w:p>
    <w:p w:rsidR="00F4135C" w:rsidRDefault="00F4135C" w:rsidP="00D26195">
      <w:pPr>
        <w:spacing w:line="360" w:lineRule="auto"/>
        <w:jc w:val="both"/>
        <w:rPr>
          <w:rFonts w:ascii="Trebuchet MS" w:hAnsi="Trebuchet MS"/>
        </w:rPr>
      </w:pPr>
    </w:p>
    <w:p w:rsidR="00F4135C" w:rsidRPr="00F4135C" w:rsidRDefault="00F4135C" w:rsidP="00D26195">
      <w:pPr>
        <w:spacing w:line="360" w:lineRule="auto"/>
        <w:jc w:val="both"/>
        <w:rPr>
          <w:rFonts w:ascii="Trebuchet MS" w:hAnsi="Trebuchet MS"/>
          <w:b/>
        </w:rPr>
      </w:pPr>
      <w:r w:rsidRPr="00F4135C">
        <w:rPr>
          <w:rFonts w:ascii="Trebuchet MS" w:hAnsi="Trebuchet MS"/>
          <w:b/>
        </w:rPr>
        <w:t>Zu Artikel 4 (Barrierefreie-Informationstechnik-Verordnung)</w:t>
      </w:r>
    </w:p>
    <w:p w:rsidR="00F4135C" w:rsidRPr="00F4135C" w:rsidRDefault="00F4135C" w:rsidP="00D26195">
      <w:pPr>
        <w:spacing w:line="360" w:lineRule="auto"/>
        <w:jc w:val="both"/>
        <w:rPr>
          <w:rFonts w:ascii="Trebuchet MS" w:hAnsi="Trebuchet MS"/>
          <w:sz w:val="12"/>
          <w:szCs w:val="12"/>
        </w:rPr>
      </w:pPr>
    </w:p>
    <w:p w:rsidR="00F4135C" w:rsidRDefault="00F4135C" w:rsidP="00D26195">
      <w:pPr>
        <w:spacing w:line="360" w:lineRule="auto"/>
        <w:jc w:val="both"/>
        <w:rPr>
          <w:rFonts w:ascii="Trebuchet MS" w:hAnsi="Trebuchet MS"/>
        </w:rPr>
      </w:pPr>
      <w:r>
        <w:rPr>
          <w:rFonts w:ascii="Trebuchet MS" w:hAnsi="Trebuchet MS"/>
        </w:rPr>
        <w:t>Soweit bei § 3 in einem neuen Abs. 3 die Beratung und Unterstützung durch das Informationstechnikzentrum Bund verankert wird, bietet es sich an, zugleich an dieser Stelle eine Zusammenarbeit des Zentrums mit der Bundesfachstelle für Barrierefreiheit festzulegen.</w:t>
      </w:r>
    </w:p>
    <w:p w:rsidR="00F4135C" w:rsidRPr="00F4135C" w:rsidRDefault="00F4135C" w:rsidP="00D26195">
      <w:pPr>
        <w:spacing w:line="360" w:lineRule="auto"/>
        <w:jc w:val="both"/>
        <w:rPr>
          <w:rFonts w:ascii="Trebuchet MS" w:hAnsi="Trebuchet MS"/>
          <w:i/>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Pr>
          <w:rFonts w:ascii="Trebuchet MS" w:hAnsi="Trebuchet MS"/>
          <w:i/>
        </w:rPr>
        <w:t>Düsseldorf, den 17.08.2016</w:t>
      </w:r>
    </w:p>
    <w:sectPr w:rsidR="00F4135C" w:rsidRPr="00F4135C" w:rsidSect="00F4135C">
      <w:pgSz w:w="11906" w:h="16838"/>
      <w:pgMar w:top="124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95"/>
    <w:rsid w:val="000B086F"/>
    <w:rsid w:val="000F27C2"/>
    <w:rsid w:val="002F5976"/>
    <w:rsid w:val="00396B99"/>
    <w:rsid w:val="003D12E8"/>
    <w:rsid w:val="00521A35"/>
    <w:rsid w:val="00594F1D"/>
    <w:rsid w:val="006D37FF"/>
    <w:rsid w:val="007C0AD7"/>
    <w:rsid w:val="007C1B24"/>
    <w:rsid w:val="009715A0"/>
    <w:rsid w:val="00B76980"/>
    <w:rsid w:val="00D26195"/>
    <w:rsid w:val="00EF1F58"/>
    <w:rsid w:val="00F008B9"/>
    <w:rsid w:val="00F13BA9"/>
    <w:rsid w:val="00F4135C"/>
    <w:rsid w:val="00FA7F69"/>
    <w:rsid w:val="00FC3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26195"/>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26195"/>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2</cp:revision>
  <dcterms:created xsi:type="dcterms:W3CDTF">2017-08-09T12:42:00Z</dcterms:created>
  <dcterms:modified xsi:type="dcterms:W3CDTF">2017-08-09T12:42:00Z</dcterms:modified>
</cp:coreProperties>
</file>