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4A" w:rsidRPr="0083537C" w:rsidRDefault="000A704A" w:rsidP="007B777B">
      <w:pPr>
        <w:rPr>
          <w:rFonts w:asciiTheme="minorHAnsi" w:hAnsiTheme="minorHAnsi"/>
          <w:sz w:val="22"/>
        </w:rPr>
      </w:pPr>
    </w:p>
    <w:p w:rsidR="00B51C22" w:rsidRPr="00310552" w:rsidRDefault="00B51C22" w:rsidP="007B777B">
      <w:pPr>
        <w:jc w:val="center"/>
        <w:rPr>
          <w:rFonts w:asciiTheme="minorHAnsi" w:hAnsiTheme="minorHAnsi"/>
          <w:b/>
          <w:sz w:val="28"/>
          <w:szCs w:val="28"/>
        </w:rPr>
      </w:pPr>
      <w:r w:rsidRPr="00310552">
        <w:rPr>
          <w:rFonts w:asciiTheme="minorHAnsi" w:hAnsiTheme="minorHAnsi"/>
          <w:b/>
          <w:sz w:val="28"/>
          <w:szCs w:val="28"/>
        </w:rPr>
        <w:t>Weiterentwicklung der Patientenbeteiligung im deutschen Gesundheitswesen</w:t>
      </w:r>
    </w:p>
    <w:p w:rsidR="00B51C22" w:rsidRPr="0083537C" w:rsidRDefault="00B51C22" w:rsidP="007B777B">
      <w:pPr>
        <w:rPr>
          <w:rFonts w:asciiTheme="minorHAnsi" w:hAnsiTheme="minorHAnsi"/>
          <w:sz w:val="22"/>
        </w:rPr>
      </w:pPr>
    </w:p>
    <w:p w:rsidR="00F81744" w:rsidRPr="0083537C" w:rsidRDefault="00F81744"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Nach 1</w:t>
      </w:r>
      <w:r w:rsidR="00951EDB">
        <w:rPr>
          <w:rFonts w:asciiTheme="minorHAnsi" w:hAnsiTheme="minorHAnsi"/>
          <w:sz w:val="22"/>
        </w:rPr>
        <w:t xml:space="preserve">4 </w:t>
      </w:r>
      <w:r w:rsidRPr="0083537C">
        <w:rPr>
          <w:rFonts w:asciiTheme="minorHAnsi" w:hAnsiTheme="minorHAnsi"/>
          <w:sz w:val="22"/>
        </w:rPr>
        <w:t>Jahren Patientenbeteiligung im Gemeinsamen Bundesausschuss (GBA) lässt sich feststellen:</w:t>
      </w:r>
    </w:p>
    <w:p w:rsidR="00F81744" w:rsidRPr="0083537C" w:rsidRDefault="00F81744"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Die Einführung der Patientenbeteiligung hat sich bewährt, und zwar nicht nur für die Betroffenen, so</w:t>
      </w:r>
      <w:r w:rsidRPr="0083537C">
        <w:rPr>
          <w:rFonts w:asciiTheme="minorHAnsi" w:hAnsiTheme="minorHAnsi"/>
          <w:sz w:val="22"/>
        </w:rPr>
        <w:t>n</w:t>
      </w:r>
      <w:r w:rsidRPr="0083537C">
        <w:rPr>
          <w:rFonts w:asciiTheme="minorHAnsi" w:hAnsiTheme="minorHAnsi"/>
          <w:sz w:val="22"/>
        </w:rPr>
        <w:t>dern für alle Beteiligten in der Gemeinsamen Selbstverwaltung und für die Fortentwicklung des Gesun</w:t>
      </w:r>
      <w:r w:rsidRPr="0083537C">
        <w:rPr>
          <w:rFonts w:asciiTheme="minorHAnsi" w:hAnsiTheme="minorHAnsi"/>
          <w:sz w:val="22"/>
        </w:rPr>
        <w:t>d</w:t>
      </w:r>
      <w:r w:rsidRPr="0083537C">
        <w:rPr>
          <w:rFonts w:asciiTheme="minorHAnsi" w:hAnsiTheme="minorHAnsi"/>
          <w:sz w:val="22"/>
        </w:rPr>
        <w:t>heitswesens. Nicht ohne Grund gilt die Umsetzung der Patientenbeteiligung in Deutschland auf internat</w:t>
      </w:r>
      <w:r w:rsidRPr="0083537C">
        <w:rPr>
          <w:rFonts w:asciiTheme="minorHAnsi" w:hAnsiTheme="minorHAnsi"/>
          <w:sz w:val="22"/>
        </w:rPr>
        <w:t>i</w:t>
      </w:r>
      <w:r w:rsidRPr="0083537C">
        <w:rPr>
          <w:rFonts w:asciiTheme="minorHAnsi" w:hAnsiTheme="minorHAnsi"/>
          <w:sz w:val="22"/>
        </w:rPr>
        <w:t>onaler Ebene als Musterbeispiel.</w:t>
      </w:r>
    </w:p>
    <w:p w:rsidR="00F81744" w:rsidRPr="0083537C" w:rsidRDefault="00F81744" w:rsidP="007B777B">
      <w:pPr>
        <w:rPr>
          <w:rFonts w:asciiTheme="minorHAnsi" w:hAnsiTheme="minorHAnsi"/>
          <w:sz w:val="22"/>
        </w:rPr>
      </w:pPr>
    </w:p>
    <w:p w:rsidR="007B777B" w:rsidRDefault="00B51C22" w:rsidP="007B777B">
      <w:pPr>
        <w:rPr>
          <w:rFonts w:asciiTheme="minorHAnsi" w:hAnsiTheme="minorHAnsi"/>
          <w:sz w:val="22"/>
        </w:rPr>
      </w:pPr>
      <w:r w:rsidRPr="0083537C">
        <w:rPr>
          <w:rFonts w:asciiTheme="minorHAnsi" w:hAnsiTheme="minorHAnsi"/>
          <w:sz w:val="22"/>
        </w:rPr>
        <w:t>Die Teilnahme von Vertretungen der Patientenselbsthilfe– und –beratungsorganisationen hat, neben anderen Maßnahmen, zu deutlich mehr Transparenz in der Entscheidungsfindung des Gemeinsamen Bundesausschuss</w:t>
      </w:r>
      <w:r w:rsidR="00C23C49">
        <w:rPr>
          <w:rFonts w:asciiTheme="minorHAnsi" w:hAnsiTheme="minorHAnsi"/>
          <w:sz w:val="22"/>
        </w:rPr>
        <w:t>es (GBA)</w:t>
      </w:r>
      <w:r w:rsidRPr="0083537C">
        <w:rPr>
          <w:rFonts w:asciiTheme="minorHAnsi" w:hAnsiTheme="minorHAnsi"/>
          <w:sz w:val="22"/>
        </w:rPr>
        <w:t xml:space="preserve"> geführt. </w:t>
      </w:r>
    </w:p>
    <w:p w:rsidR="007B777B" w:rsidRDefault="007B777B" w:rsidP="007B777B">
      <w:pPr>
        <w:rPr>
          <w:rFonts w:asciiTheme="minorHAnsi" w:hAnsiTheme="minorHAnsi"/>
          <w:sz w:val="22"/>
        </w:rPr>
      </w:pPr>
    </w:p>
    <w:p w:rsidR="00F81744" w:rsidRDefault="00B51C22" w:rsidP="007B777B">
      <w:pPr>
        <w:rPr>
          <w:rFonts w:asciiTheme="minorHAnsi" w:hAnsiTheme="minorHAnsi"/>
          <w:sz w:val="22"/>
        </w:rPr>
      </w:pPr>
      <w:r w:rsidRPr="0083537C">
        <w:rPr>
          <w:rFonts w:asciiTheme="minorHAnsi" w:hAnsiTheme="minorHAnsi"/>
          <w:sz w:val="22"/>
        </w:rPr>
        <w:t>Die zum Teil schwierigen Beschlüsse haben durch die Beteiligung und das teils zustimmende, teils krit</w:t>
      </w:r>
      <w:r w:rsidRPr="0083537C">
        <w:rPr>
          <w:rFonts w:asciiTheme="minorHAnsi" w:hAnsiTheme="minorHAnsi"/>
          <w:sz w:val="22"/>
        </w:rPr>
        <w:t>i</w:t>
      </w:r>
      <w:r w:rsidRPr="0083537C">
        <w:rPr>
          <w:rFonts w:asciiTheme="minorHAnsi" w:hAnsiTheme="minorHAnsi"/>
          <w:sz w:val="22"/>
        </w:rPr>
        <w:t>sche Votum der Pat</w:t>
      </w:r>
      <w:r w:rsidR="00F81744" w:rsidRPr="0083537C">
        <w:rPr>
          <w:rFonts w:asciiTheme="minorHAnsi" w:hAnsiTheme="minorHAnsi"/>
          <w:sz w:val="22"/>
        </w:rPr>
        <w:t>ientenvertretung an Glaubwürdig</w:t>
      </w:r>
      <w:r w:rsidRPr="0083537C">
        <w:rPr>
          <w:rFonts w:asciiTheme="minorHAnsi" w:hAnsiTheme="minorHAnsi"/>
          <w:sz w:val="22"/>
        </w:rPr>
        <w:t>keit und Akzeptanz gewonnen. Gleichzeitig haben sich Patientenvertreterinnen und – vertreter als verlässliche und kompetente Partner er</w:t>
      </w:r>
      <w:r w:rsidR="00F81744" w:rsidRPr="0083537C">
        <w:rPr>
          <w:rFonts w:asciiTheme="minorHAnsi" w:hAnsiTheme="minorHAnsi"/>
          <w:sz w:val="22"/>
        </w:rPr>
        <w:t>wiesen, wenn es galt, auch kon</w:t>
      </w:r>
      <w:r w:rsidRPr="0083537C">
        <w:rPr>
          <w:rFonts w:asciiTheme="minorHAnsi" w:hAnsiTheme="minorHAnsi"/>
          <w:sz w:val="22"/>
        </w:rPr>
        <w:t>troverse Entscheidungen nach außen zu vertreten, we</w:t>
      </w:r>
      <w:r w:rsidR="00F81744" w:rsidRPr="0083537C">
        <w:rPr>
          <w:rFonts w:asciiTheme="minorHAnsi" w:hAnsiTheme="minorHAnsi"/>
          <w:sz w:val="22"/>
        </w:rPr>
        <w:t>nn sie im Interesse der Patien</w:t>
      </w:r>
      <w:r w:rsidRPr="0083537C">
        <w:rPr>
          <w:rFonts w:asciiTheme="minorHAnsi" w:hAnsiTheme="minorHAnsi"/>
          <w:sz w:val="22"/>
        </w:rPr>
        <w:t xml:space="preserve">ten- und Versichertengemeinschaft getroffen wurden. </w:t>
      </w:r>
      <w:r w:rsidR="00201816">
        <w:rPr>
          <w:rFonts w:asciiTheme="minorHAnsi" w:hAnsiTheme="minorHAnsi"/>
          <w:sz w:val="22"/>
        </w:rPr>
        <w:t>Insoweit</w:t>
      </w:r>
      <w:r w:rsidRPr="0083537C">
        <w:rPr>
          <w:rFonts w:asciiTheme="minorHAnsi" w:hAnsiTheme="minorHAnsi"/>
          <w:sz w:val="22"/>
        </w:rPr>
        <w:t xml:space="preserve"> wirkt die Patientenbeteiligung ausgleichend hinsichtlich der zuweilen sehr deutlich zutage tretenden Interessengegensätze der Selbstverwaltung</w:t>
      </w:r>
      <w:r w:rsidRPr="0083537C">
        <w:rPr>
          <w:rFonts w:asciiTheme="minorHAnsi" w:hAnsiTheme="minorHAnsi"/>
          <w:sz w:val="22"/>
        </w:rPr>
        <w:t>s</w:t>
      </w:r>
      <w:r w:rsidRPr="0083537C">
        <w:rPr>
          <w:rFonts w:asciiTheme="minorHAnsi" w:hAnsiTheme="minorHAnsi"/>
          <w:sz w:val="22"/>
        </w:rPr>
        <w:t>partner und stabilisierend, wenn es darum geht, trotz der Eigeninteressen dieser Partner patientenorie</w:t>
      </w:r>
      <w:r w:rsidRPr="0083537C">
        <w:rPr>
          <w:rFonts w:asciiTheme="minorHAnsi" w:hAnsiTheme="minorHAnsi"/>
          <w:sz w:val="22"/>
        </w:rPr>
        <w:t>n</w:t>
      </w:r>
      <w:r w:rsidRPr="0083537C">
        <w:rPr>
          <w:rFonts w:asciiTheme="minorHAnsi" w:hAnsiTheme="minorHAnsi"/>
          <w:sz w:val="22"/>
        </w:rPr>
        <w:t>tierte und bedarfsgerechte Entscheidungen zu treffen. Das deutsche Gesundheitswesen hat von der Pat</w:t>
      </w:r>
      <w:r w:rsidRPr="0083537C">
        <w:rPr>
          <w:rFonts w:asciiTheme="minorHAnsi" w:hAnsiTheme="minorHAnsi"/>
          <w:sz w:val="22"/>
        </w:rPr>
        <w:t>i</w:t>
      </w:r>
      <w:r w:rsidRPr="0083537C">
        <w:rPr>
          <w:rFonts w:asciiTheme="minorHAnsi" w:hAnsiTheme="minorHAnsi"/>
          <w:sz w:val="22"/>
        </w:rPr>
        <w:t>entenbeteiligung insgesamt profitiert.</w:t>
      </w:r>
    </w:p>
    <w:p w:rsidR="007B777B" w:rsidRDefault="007B777B" w:rsidP="007B777B">
      <w:pPr>
        <w:rPr>
          <w:rFonts w:asciiTheme="minorHAnsi" w:hAnsiTheme="minorHAnsi"/>
          <w:sz w:val="22"/>
        </w:rPr>
      </w:pPr>
    </w:p>
    <w:p w:rsidR="007B777B" w:rsidRPr="0083537C" w:rsidRDefault="007B777B" w:rsidP="007B777B">
      <w:pPr>
        <w:rPr>
          <w:rFonts w:asciiTheme="minorHAnsi" w:hAnsiTheme="minorHAnsi"/>
          <w:sz w:val="22"/>
        </w:rPr>
      </w:pPr>
    </w:p>
    <w:p w:rsidR="00B51C22" w:rsidRPr="00310552" w:rsidRDefault="00F81744" w:rsidP="007B777B">
      <w:pPr>
        <w:rPr>
          <w:rFonts w:asciiTheme="minorHAnsi" w:hAnsiTheme="minorHAnsi"/>
          <w:b/>
          <w:sz w:val="26"/>
          <w:szCs w:val="26"/>
        </w:rPr>
      </w:pPr>
      <w:r w:rsidRPr="00310552">
        <w:rPr>
          <w:rFonts w:asciiTheme="minorHAnsi" w:hAnsiTheme="minorHAnsi"/>
          <w:b/>
          <w:sz w:val="26"/>
          <w:szCs w:val="26"/>
        </w:rPr>
        <w:t>I.</w:t>
      </w:r>
      <w:r w:rsidRPr="00310552">
        <w:rPr>
          <w:rFonts w:asciiTheme="minorHAnsi" w:hAnsiTheme="minorHAnsi"/>
          <w:b/>
          <w:sz w:val="26"/>
          <w:szCs w:val="26"/>
        </w:rPr>
        <w:tab/>
      </w:r>
      <w:r w:rsidR="0083537C" w:rsidRPr="00310552">
        <w:rPr>
          <w:rFonts w:asciiTheme="minorHAnsi" w:hAnsiTheme="minorHAnsi"/>
          <w:b/>
          <w:sz w:val="26"/>
          <w:szCs w:val="26"/>
        </w:rPr>
        <w:t>Weiterentwicklung der Gem</w:t>
      </w:r>
      <w:r w:rsidR="00B51C22" w:rsidRPr="00310552">
        <w:rPr>
          <w:rFonts w:asciiTheme="minorHAnsi" w:hAnsiTheme="minorHAnsi"/>
          <w:b/>
          <w:sz w:val="26"/>
          <w:szCs w:val="26"/>
        </w:rPr>
        <w:t>einsamen Selbstverwaltung</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Gerade das Antragsrecht der maßgeblichen Patientenorganisationen hat sich als wichtiger Motor erwi</w:t>
      </w:r>
      <w:r w:rsidRPr="0083537C">
        <w:rPr>
          <w:rFonts w:asciiTheme="minorHAnsi" w:hAnsiTheme="minorHAnsi"/>
          <w:sz w:val="22"/>
        </w:rPr>
        <w:t>e</w:t>
      </w:r>
      <w:r w:rsidRPr="0083537C">
        <w:rPr>
          <w:rFonts w:asciiTheme="minorHAnsi" w:hAnsiTheme="minorHAnsi"/>
          <w:sz w:val="22"/>
        </w:rPr>
        <w:t>sen, um notwendige Entscheidungsfindungsprozesse anzustoßen bzw. laufende Verfahren zu beschleun</w:t>
      </w:r>
      <w:r w:rsidRPr="0083537C">
        <w:rPr>
          <w:rFonts w:asciiTheme="minorHAnsi" w:hAnsiTheme="minorHAnsi"/>
          <w:sz w:val="22"/>
        </w:rPr>
        <w:t>i</w:t>
      </w:r>
      <w:r w:rsidRPr="0083537C">
        <w:rPr>
          <w:rFonts w:asciiTheme="minorHAnsi" w:hAnsiTheme="minorHAnsi"/>
          <w:sz w:val="22"/>
        </w:rPr>
        <w:t>gen. Gleichwohl gibt es bei wichtigen Arbeitsfeldern des Gemeinsamen Bundesausschuss gesetzgeber</w:t>
      </w:r>
      <w:r w:rsidRPr="0083537C">
        <w:rPr>
          <w:rFonts w:asciiTheme="minorHAnsi" w:hAnsiTheme="minorHAnsi"/>
          <w:sz w:val="22"/>
        </w:rPr>
        <w:t>i</w:t>
      </w:r>
      <w:r w:rsidRPr="0083537C">
        <w:rPr>
          <w:rFonts w:asciiTheme="minorHAnsi" w:hAnsiTheme="minorHAnsi"/>
          <w:sz w:val="22"/>
        </w:rPr>
        <w:t>schen Handlungsbedarf:</w:t>
      </w:r>
    </w:p>
    <w:p w:rsidR="00B51C22" w:rsidRDefault="00B51C22" w:rsidP="007B777B">
      <w:pPr>
        <w:rPr>
          <w:rFonts w:asciiTheme="minorHAnsi" w:hAnsiTheme="minorHAnsi"/>
          <w:sz w:val="22"/>
        </w:rPr>
      </w:pPr>
    </w:p>
    <w:p w:rsidR="00201816" w:rsidRDefault="00201816" w:rsidP="007B777B">
      <w:pPr>
        <w:rPr>
          <w:rFonts w:asciiTheme="minorHAnsi" w:hAnsiTheme="minorHAnsi"/>
          <w:sz w:val="22"/>
        </w:rPr>
      </w:pPr>
    </w:p>
    <w:p w:rsidR="00201816" w:rsidRPr="007B777B" w:rsidRDefault="00201816" w:rsidP="00201816">
      <w:pPr>
        <w:ind w:left="567" w:hanging="567"/>
        <w:rPr>
          <w:rFonts w:asciiTheme="minorHAnsi" w:hAnsiTheme="minorHAnsi"/>
          <w:b/>
          <w:sz w:val="22"/>
        </w:rPr>
      </w:pPr>
      <w:r>
        <w:rPr>
          <w:rFonts w:asciiTheme="minorHAnsi" w:hAnsiTheme="minorHAnsi"/>
          <w:b/>
          <w:sz w:val="22"/>
        </w:rPr>
        <w:t>1</w:t>
      </w:r>
      <w:r w:rsidRPr="007B777B">
        <w:rPr>
          <w:rFonts w:asciiTheme="minorHAnsi" w:hAnsiTheme="minorHAnsi"/>
          <w:b/>
          <w:sz w:val="22"/>
        </w:rPr>
        <w:t>)</w:t>
      </w:r>
      <w:r w:rsidRPr="007B777B">
        <w:rPr>
          <w:rFonts w:asciiTheme="minorHAnsi" w:hAnsiTheme="minorHAnsi"/>
          <w:b/>
          <w:sz w:val="22"/>
        </w:rPr>
        <w:tab/>
        <w:t>Die Versorgung muss vom Patienten her gedacht werden, sektorübergreifende Versorgung muss umfassend umgesetzt werden</w:t>
      </w:r>
    </w:p>
    <w:p w:rsidR="00201816" w:rsidRPr="0083537C" w:rsidRDefault="00201816" w:rsidP="00201816">
      <w:pPr>
        <w:ind w:left="567" w:hanging="567"/>
        <w:rPr>
          <w:rFonts w:asciiTheme="minorHAnsi" w:hAnsiTheme="minorHAnsi"/>
          <w:sz w:val="22"/>
        </w:rPr>
      </w:pPr>
    </w:p>
    <w:p w:rsidR="00201816" w:rsidRDefault="00201816" w:rsidP="00201816">
      <w:pPr>
        <w:ind w:left="567"/>
        <w:rPr>
          <w:rFonts w:asciiTheme="minorHAnsi" w:hAnsiTheme="minorHAnsi"/>
          <w:sz w:val="22"/>
        </w:rPr>
      </w:pPr>
      <w:r w:rsidRPr="009B3132">
        <w:rPr>
          <w:rFonts w:asciiTheme="minorHAnsi" w:hAnsiTheme="minorHAnsi"/>
          <w:sz w:val="22"/>
        </w:rPr>
        <w:t>Die Gestaltung der Versorgung muss aus der Perspektive der Patientinnen und Patienten heraus e</w:t>
      </w:r>
      <w:r w:rsidRPr="009B3132">
        <w:rPr>
          <w:rFonts w:asciiTheme="minorHAnsi" w:hAnsiTheme="minorHAnsi"/>
          <w:sz w:val="22"/>
        </w:rPr>
        <w:t>r</w:t>
      </w:r>
      <w:r w:rsidRPr="009B3132">
        <w:rPr>
          <w:rFonts w:asciiTheme="minorHAnsi" w:hAnsiTheme="minorHAnsi"/>
          <w:sz w:val="22"/>
        </w:rPr>
        <w:t xml:space="preserve">folgen. </w:t>
      </w:r>
      <w:r>
        <w:rPr>
          <w:rFonts w:asciiTheme="minorHAnsi" w:hAnsiTheme="minorHAnsi"/>
          <w:sz w:val="22"/>
        </w:rPr>
        <w:t>Allein</w:t>
      </w:r>
      <w:r w:rsidRPr="009B3132">
        <w:rPr>
          <w:rFonts w:asciiTheme="minorHAnsi" w:hAnsiTheme="minorHAnsi"/>
          <w:sz w:val="22"/>
        </w:rPr>
        <w:t xml:space="preserve"> der Patient ist von der ambulanten Diagnose über die Krankenhausbehandlung und die Reha bis zur Nachsorge und Hilfsmittelversorgung an der sektorenübergreifenden Versorgung beteiligt. Die Patientenvertretung hat das Wissen über und das Interesse an der sektorenübergre</w:t>
      </w:r>
      <w:r w:rsidRPr="009B3132">
        <w:rPr>
          <w:rFonts w:asciiTheme="minorHAnsi" w:hAnsiTheme="minorHAnsi"/>
          <w:sz w:val="22"/>
        </w:rPr>
        <w:t>i</w:t>
      </w:r>
      <w:r w:rsidRPr="009B3132">
        <w:rPr>
          <w:rFonts w:asciiTheme="minorHAnsi" w:hAnsiTheme="minorHAnsi"/>
          <w:sz w:val="22"/>
        </w:rPr>
        <w:t>fenden Versorgung. Die Bund-Länder Arbeitsgruppe zur sektorübergreifenden Versorgung darf sich nicht nur auf die Diskussion einer gleichen Vergütung für sektorengleiche Behandlungen beschrä</w:t>
      </w:r>
      <w:r w:rsidRPr="009B3132">
        <w:rPr>
          <w:rFonts w:asciiTheme="minorHAnsi" w:hAnsiTheme="minorHAnsi"/>
          <w:sz w:val="22"/>
        </w:rPr>
        <w:t>n</w:t>
      </w:r>
      <w:r w:rsidRPr="009B3132">
        <w:rPr>
          <w:rFonts w:asciiTheme="minorHAnsi" w:hAnsiTheme="minorHAnsi"/>
          <w:sz w:val="22"/>
        </w:rPr>
        <w:t>ken, sondern muss das System patientenorientiert umgestalten. Hierzu gehören eine bedarfsorie</w:t>
      </w:r>
      <w:r w:rsidRPr="009B3132">
        <w:rPr>
          <w:rFonts w:asciiTheme="minorHAnsi" w:hAnsiTheme="minorHAnsi"/>
          <w:sz w:val="22"/>
        </w:rPr>
        <w:t>n</w:t>
      </w:r>
      <w:r w:rsidRPr="009B3132">
        <w:rPr>
          <w:rFonts w:asciiTheme="minorHAnsi" w:hAnsiTheme="minorHAnsi"/>
          <w:sz w:val="22"/>
        </w:rPr>
        <w:t xml:space="preserve">tierte Planung, die Definition der Versorgungspfade, Anforderungen an die Leistungserbringer, die sektorenübergreifende Qualitätssicherung und angemessene Vergütungsregelungen. </w:t>
      </w:r>
    </w:p>
    <w:p w:rsidR="00201816" w:rsidRDefault="00201816" w:rsidP="00201816">
      <w:pPr>
        <w:ind w:left="567"/>
        <w:rPr>
          <w:rFonts w:asciiTheme="minorHAnsi" w:hAnsiTheme="minorHAnsi"/>
          <w:sz w:val="22"/>
        </w:rPr>
      </w:pPr>
    </w:p>
    <w:p w:rsidR="00201816" w:rsidRPr="009B3132" w:rsidRDefault="00201816" w:rsidP="00201816">
      <w:pPr>
        <w:ind w:left="567"/>
        <w:rPr>
          <w:rFonts w:asciiTheme="minorHAnsi" w:hAnsiTheme="minorHAnsi"/>
          <w:sz w:val="22"/>
        </w:rPr>
      </w:pPr>
      <w:r>
        <w:rPr>
          <w:rFonts w:asciiTheme="minorHAnsi" w:hAnsiTheme="minorHAnsi"/>
          <w:sz w:val="22"/>
        </w:rPr>
        <w:t>Dringend notwendig ist eine am Bedarf der Patientinnen und Patienten orientierte Planung der Versorgung. Wir brauchen daher auch eine neue gesetzliche Grundlage für eine bessere Steuerung der Verteilung von Vertragsarztsitzen. So könnten zum Beispiel Quotenregelungen innerhalb gr</w:t>
      </w:r>
      <w:r>
        <w:rPr>
          <w:rFonts w:asciiTheme="minorHAnsi" w:hAnsiTheme="minorHAnsi"/>
          <w:sz w:val="22"/>
        </w:rPr>
        <w:t>o</w:t>
      </w:r>
      <w:r>
        <w:rPr>
          <w:rFonts w:asciiTheme="minorHAnsi" w:hAnsiTheme="minorHAnsi"/>
          <w:sz w:val="22"/>
        </w:rPr>
        <w:lastRenderedPageBreak/>
        <w:t>ßer Arztgruppen wie z.B. den internistischen Disziplinen, den allgemein tätigen oder spezialisierten Arz</w:t>
      </w:r>
      <w:r w:rsidR="00F4162E">
        <w:rPr>
          <w:rFonts w:asciiTheme="minorHAnsi" w:hAnsiTheme="minorHAnsi"/>
          <w:sz w:val="22"/>
        </w:rPr>
        <w:t>tgruppen wie z.B. den Kinderärzten und -ärzt</w:t>
      </w:r>
      <w:r>
        <w:rPr>
          <w:rFonts w:asciiTheme="minorHAnsi" w:hAnsiTheme="minorHAnsi"/>
          <w:sz w:val="22"/>
        </w:rPr>
        <w:t>innen oder den konservativ oder chirurgisch tät</w:t>
      </w:r>
      <w:r>
        <w:rPr>
          <w:rFonts w:asciiTheme="minorHAnsi" w:hAnsiTheme="minorHAnsi"/>
          <w:sz w:val="22"/>
        </w:rPr>
        <w:t>i</w:t>
      </w:r>
      <w:r>
        <w:rPr>
          <w:rFonts w:asciiTheme="minorHAnsi" w:hAnsiTheme="minorHAnsi"/>
          <w:sz w:val="22"/>
        </w:rPr>
        <w:t xml:space="preserve">gen Orthopäden </w:t>
      </w:r>
      <w:r w:rsidR="00F4162E">
        <w:rPr>
          <w:rFonts w:asciiTheme="minorHAnsi" w:hAnsiTheme="minorHAnsi"/>
          <w:sz w:val="22"/>
        </w:rPr>
        <w:t xml:space="preserve">und Orthopädinnen </w:t>
      </w:r>
      <w:r>
        <w:rPr>
          <w:rFonts w:asciiTheme="minorHAnsi" w:hAnsiTheme="minorHAnsi"/>
          <w:sz w:val="22"/>
        </w:rPr>
        <w:t xml:space="preserve">eine bessere Verteilung gewährleisten. </w:t>
      </w:r>
    </w:p>
    <w:p w:rsidR="00201816" w:rsidRDefault="00201816" w:rsidP="00201816">
      <w:pPr>
        <w:ind w:left="567"/>
        <w:rPr>
          <w:rFonts w:asciiTheme="minorHAnsi" w:hAnsiTheme="minorHAnsi"/>
          <w:sz w:val="22"/>
        </w:rPr>
      </w:pPr>
    </w:p>
    <w:p w:rsidR="00201816" w:rsidRDefault="00201816" w:rsidP="00201816">
      <w:pPr>
        <w:ind w:left="567"/>
        <w:rPr>
          <w:rFonts w:asciiTheme="minorHAnsi" w:hAnsiTheme="minorHAnsi"/>
          <w:sz w:val="22"/>
        </w:rPr>
      </w:pPr>
      <w:r w:rsidRPr="009B3132">
        <w:rPr>
          <w:rFonts w:asciiTheme="minorHAnsi" w:hAnsiTheme="minorHAnsi"/>
          <w:sz w:val="22"/>
        </w:rPr>
        <w:t>Wir haben 2011 mit unserem Gutachten zur Bedarfsplanung bereits die Vorlage geliefert, wie von den Belangen der Patientinnen und Patienten aus geplant werden kann.</w:t>
      </w:r>
    </w:p>
    <w:p w:rsidR="00201816" w:rsidRDefault="00201816" w:rsidP="00201816">
      <w:pPr>
        <w:ind w:left="567"/>
        <w:rPr>
          <w:rFonts w:asciiTheme="minorHAnsi" w:hAnsiTheme="minorHAnsi"/>
          <w:sz w:val="22"/>
        </w:rPr>
      </w:pPr>
    </w:p>
    <w:p w:rsidR="007B777B" w:rsidRPr="0083537C" w:rsidRDefault="007B777B" w:rsidP="007B777B">
      <w:pPr>
        <w:rPr>
          <w:rFonts w:asciiTheme="minorHAnsi" w:hAnsiTheme="minorHAnsi"/>
          <w:sz w:val="22"/>
        </w:rPr>
      </w:pPr>
    </w:p>
    <w:p w:rsidR="00B51C22" w:rsidRPr="007B777B" w:rsidRDefault="00201816" w:rsidP="007B777B">
      <w:pPr>
        <w:tabs>
          <w:tab w:val="left" w:pos="567"/>
        </w:tabs>
        <w:ind w:left="567" w:hanging="567"/>
        <w:rPr>
          <w:rFonts w:asciiTheme="minorHAnsi" w:hAnsiTheme="minorHAnsi"/>
          <w:b/>
          <w:sz w:val="22"/>
        </w:rPr>
      </w:pPr>
      <w:r>
        <w:rPr>
          <w:rFonts w:asciiTheme="minorHAnsi" w:hAnsiTheme="minorHAnsi"/>
          <w:b/>
          <w:sz w:val="22"/>
        </w:rPr>
        <w:t>2</w:t>
      </w:r>
      <w:r w:rsidR="00F81744" w:rsidRPr="007B777B">
        <w:rPr>
          <w:rFonts w:asciiTheme="minorHAnsi" w:hAnsiTheme="minorHAnsi"/>
          <w:b/>
          <w:sz w:val="22"/>
        </w:rPr>
        <w:t>)</w:t>
      </w:r>
      <w:r w:rsidR="00F81744" w:rsidRPr="007B777B">
        <w:rPr>
          <w:rFonts w:asciiTheme="minorHAnsi" w:hAnsiTheme="minorHAnsi"/>
          <w:b/>
          <w:sz w:val="22"/>
        </w:rPr>
        <w:tab/>
      </w:r>
      <w:r w:rsidR="00C23C49" w:rsidRPr="007B777B">
        <w:rPr>
          <w:rFonts w:asciiTheme="minorHAnsi" w:hAnsiTheme="minorHAnsi"/>
          <w:b/>
          <w:sz w:val="22"/>
        </w:rPr>
        <w:t>Methodenbewertung durch den Gemeinsamen Bundesaussch</w:t>
      </w:r>
      <w:r>
        <w:rPr>
          <w:rFonts w:asciiTheme="minorHAnsi" w:hAnsiTheme="minorHAnsi"/>
          <w:b/>
          <w:sz w:val="22"/>
        </w:rPr>
        <w:t>uss - Erprobungsregelung nach § </w:t>
      </w:r>
      <w:r w:rsidR="00C23C49" w:rsidRPr="007B777B">
        <w:rPr>
          <w:rFonts w:asciiTheme="minorHAnsi" w:hAnsiTheme="minorHAnsi"/>
          <w:b/>
          <w:sz w:val="22"/>
        </w:rPr>
        <w:t>137e SGB V</w:t>
      </w:r>
    </w:p>
    <w:p w:rsidR="007B777B" w:rsidRDefault="007B777B" w:rsidP="007B777B">
      <w:pPr>
        <w:tabs>
          <w:tab w:val="left" w:pos="567"/>
        </w:tabs>
        <w:ind w:left="567" w:hanging="567"/>
        <w:rPr>
          <w:rFonts w:asciiTheme="minorHAnsi" w:hAnsiTheme="minorHAnsi"/>
          <w:sz w:val="22"/>
        </w:rPr>
      </w:pPr>
    </w:p>
    <w:p w:rsidR="00C23C49" w:rsidRDefault="00C23C49" w:rsidP="007B777B">
      <w:pPr>
        <w:tabs>
          <w:tab w:val="left" w:pos="567"/>
        </w:tabs>
        <w:ind w:left="567" w:hanging="567"/>
        <w:rPr>
          <w:rFonts w:asciiTheme="minorHAnsi" w:hAnsiTheme="minorHAnsi"/>
          <w:sz w:val="22"/>
        </w:rPr>
      </w:pPr>
      <w:r>
        <w:rPr>
          <w:rFonts w:asciiTheme="minorHAnsi" w:hAnsiTheme="minorHAnsi"/>
          <w:sz w:val="22"/>
        </w:rPr>
        <w:tab/>
        <w:t xml:space="preserve">Bei der Bewertung medizinischer Untersuchungs- und Behandlungsmethoden hat der GBA stets den aktuellen Stand der medizinischen Erkenntnisse zu berücksichtigen, um festzustellen, ob ein Nutzen der Methode nachgewiesen werden kann. </w:t>
      </w:r>
      <w:r w:rsidR="004E7FEF">
        <w:rPr>
          <w:rFonts w:asciiTheme="minorHAnsi" w:hAnsiTheme="minorHAnsi"/>
          <w:sz w:val="22"/>
        </w:rPr>
        <w:t>In manchen Fällen reicht die Studie</w:t>
      </w:r>
      <w:r>
        <w:rPr>
          <w:rFonts w:asciiTheme="minorHAnsi" w:hAnsiTheme="minorHAnsi"/>
          <w:sz w:val="22"/>
        </w:rPr>
        <w:t>nlage jedoch nicht aus, um den Nutzen einer Methode abschließend bewerten zu können, es ist</w:t>
      </w:r>
      <w:r w:rsidR="004E7FEF">
        <w:rPr>
          <w:rFonts w:asciiTheme="minorHAnsi" w:hAnsiTheme="minorHAnsi"/>
          <w:sz w:val="22"/>
        </w:rPr>
        <w:t xml:space="preserve"> </w:t>
      </w:r>
      <w:r>
        <w:rPr>
          <w:rFonts w:asciiTheme="minorHAnsi" w:hAnsiTheme="minorHAnsi"/>
          <w:sz w:val="22"/>
        </w:rPr>
        <w:t>aber auch ni</w:t>
      </w:r>
      <w:r>
        <w:rPr>
          <w:rFonts w:asciiTheme="minorHAnsi" w:hAnsiTheme="minorHAnsi"/>
          <w:sz w:val="22"/>
        </w:rPr>
        <w:t>e</w:t>
      </w:r>
      <w:r>
        <w:rPr>
          <w:rFonts w:asciiTheme="minorHAnsi" w:hAnsiTheme="minorHAnsi"/>
          <w:sz w:val="22"/>
        </w:rPr>
        <w:t xml:space="preserve">mand in Sicht, der die erforderlichen Daten </w:t>
      </w:r>
      <w:r w:rsidR="004E7FEF">
        <w:rPr>
          <w:rFonts w:asciiTheme="minorHAnsi" w:hAnsiTheme="minorHAnsi"/>
          <w:sz w:val="22"/>
        </w:rPr>
        <w:t>lie</w:t>
      </w:r>
      <w:r>
        <w:rPr>
          <w:rFonts w:asciiTheme="minorHAnsi" w:hAnsiTheme="minorHAnsi"/>
          <w:sz w:val="22"/>
        </w:rPr>
        <w:t>fern könnte.</w:t>
      </w:r>
    </w:p>
    <w:p w:rsidR="007B777B" w:rsidRDefault="007B777B" w:rsidP="007B777B">
      <w:pPr>
        <w:tabs>
          <w:tab w:val="left" w:pos="567"/>
        </w:tabs>
        <w:ind w:left="567" w:hanging="567"/>
        <w:rPr>
          <w:rFonts w:asciiTheme="minorHAnsi" w:hAnsiTheme="minorHAnsi"/>
          <w:sz w:val="22"/>
        </w:rPr>
      </w:pPr>
    </w:p>
    <w:p w:rsidR="00C23C49" w:rsidRDefault="00C23C49" w:rsidP="007B777B">
      <w:pPr>
        <w:tabs>
          <w:tab w:val="left" w:pos="567"/>
        </w:tabs>
        <w:ind w:left="567" w:hanging="567"/>
        <w:rPr>
          <w:rFonts w:asciiTheme="minorHAnsi" w:hAnsiTheme="minorHAnsi"/>
          <w:sz w:val="22"/>
        </w:rPr>
      </w:pPr>
      <w:r>
        <w:rPr>
          <w:rFonts w:asciiTheme="minorHAnsi" w:hAnsiTheme="minorHAnsi"/>
          <w:sz w:val="22"/>
        </w:rPr>
        <w:tab/>
        <w:t>Daher war es eine gute Idee des Gesetzgebers, die sog. Erprobungsregelung zu schaffen, nach der bei Vorli</w:t>
      </w:r>
      <w:r w:rsidR="004E7FEF">
        <w:rPr>
          <w:rFonts w:asciiTheme="minorHAnsi" w:hAnsiTheme="minorHAnsi"/>
          <w:sz w:val="22"/>
        </w:rPr>
        <w:t>e</w:t>
      </w:r>
      <w:r>
        <w:rPr>
          <w:rFonts w:asciiTheme="minorHAnsi" w:hAnsiTheme="minorHAnsi"/>
          <w:sz w:val="22"/>
        </w:rPr>
        <w:t xml:space="preserve">gen eines Nutzenpotentials sog. </w:t>
      </w:r>
      <w:r w:rsidR="004E7FEF">
        <w:rPr>
          <w:rFonts w:asciiTheme="minorHAnsi" w:hAnsiTheme="minorHAnsi"/>
          <w:sz w:val="22"/>
        </w:rPr>
        <w:t>Erp</w:t>
      </w:r>
      <w:r>
        <w:rPr>
          <w:rFonts w:asciiTheme="minorHAnsi" w:hAnsiTheme="minorHAnsi"/>
          <w:sz w:val="22"/>
        </w:rPr>
        <w:t>robungsstudien vom GBA beschlossen werden kö</w:t>
      </w:r>
      <w:r>
        <w:rPr>
          <w:rFonts w:asciiTheme="minorHAnsi" w:hAnsiTheme="minorHAnsi"/>
          <w:sz w:val="22"/>
        </w:rPr>
        <w:t>n</w:t>
      </w:r>
      <w:r>
        <w:rPr>
          <w:rFonts w:asciiTheme="minorHAnsi" w:hAnsiTheme="minorHAnsi"/>
          <w:sz w:val="22"/>
        </w:rPr>
        <w:t>nen.</w:t>
      </w:r>
    </w:p>
    <w:p w:rsidR="007B777B" w:rsidRDefault="007B777B" w:rsidP="007B777B">
      <w:pPr>
        <w:tabs>
          <w:tab w:val="left" w:pos="567"/>
        </w:tabs>
        <w:ind w:left="567" w:hanging="567"/>
        <w:rPr>
          <w:rFonts w:asciiTheme="minorHAnsi" w:hAnsiTheme="minorHAnsi"/>
          <w:sz w:val="22"/>
        </w:rPr>
      </w:pPr>
    </w:p>
    <w:p w:rsidR="0038728A" w:rsidRDefault="0038728A" w:rsidP="0038728A">
      <w:pPr>
        <w:tabs>
          <w:tab w:val="left" w:pos="567"/>
        </w:tabs>
        <w:ind w:left="567" w:hanging="567"/>
        <w:rPr>
          <w:rFonts w:ascii="Calibri" w:eastAsia="Calibri" w:hAnsi="Calibri" w:cs="Calibri"/>
          <w:sz w:val="22"/>
        </w:rPr>
      </w:pPr>
      <w:r>
        <w:rPr>
          <w:rFonts w:ascii="Calibri" w:eastAsia="Calibri" w:hAnsi="Calibri" w:cs="Calibri"/>
          <w:sz w:val="22"/>
        </w:rPr>
        <w:tab/>
        <w:t>Leider legt der GBA den Begriff des Potentials so schematisch aus, dass viele Erprobungsanträge bereits an dieser Hürde scheitern. So fordert der GBA regelmäßig das Vorliegen vergleichender Studien, nur im Ausnamefall soll davon abgewichen werden. Derartige Mindestanforderungen an die Evidenz sind jedoch nicht geeignet, den Besonderheiten der Methode, den Chancen und Risiken für die Patienten und der Versorgungsrealität gerecht zu werden. Aus diesem Grunde sollte der P</w:t>
      </w:r>
      <w:r>
        <w:rPr>
          <w:rFonts w:ascii="Calibri" w:eastAsia="Calibri" w:hAnsi="Calibri" w:cs="Calibri"/>
          <w:sz w:val="22"/>
        </w:rPr>
        <w:t>o</w:t>
      </w:r>
      <w:r>
        <w:rPr>
          <w:rFonts w:ascii="Calibri" w:eastAsia="Calibri" w:hAnsi="Calibri" w:cs="Calibri"/>
          <w:sz w:val="22"/>
        </w:rPr>
        <w:t>tentialbegriff gesetzlich definiert und ggf. durch Maßgaben zur Evidenzhöhe in einer Rechtsveror</w:t>
      </w:r>
      <w:r>
        <w:rPr>
          <w:rFonts w:ascii="Calibri" w:eastAsia="Calibri" w:hAnsi="Calibri" w:cs="Calibri"/>
          <w:sz w:val="22"/>
        </w:rPr>
        <w:t>d</w:t>
      </w:r>
      <w:r>
        <w:rPr>
          <w:rFonts w:ascii="Calibri" w:eastAsia="Calibri" w:hAnsi="Calibri" w:cs="Calibri"/>
          <w:sz w:val="22"/>
        </w:rPr>
        <w:t>nung entsprechend ergänzt werden.</w:t>
      </w:r>
    </w:p>
    <w:p w:rsidR="0038728A" w:rsidRDefault="0038728A" w:rsidP="0038728A">
      <w:pPr>
        <w:tabs>
          <w:tab w:val="left" w:pos="567"/>
        </w:tabs>
        <w:spacing w:after="120"/>
        <w:ind w:left="567" w:hanging="567"/>
        <w:rPr>
          <w:rFonts w:ascii="Calibri" w:eastAsia="Calibri" w:hAnsi="Calibri" w:cs="Calibri"/>
          <w:sz w:val="22"/>
        </w:rPr>
      </w:pPr>
    </w:p>
    <w:p w:rsidR="00C23C49" w:rsidRPr="0038728A" w:rsidRDefault="0038728A" w:rsidP="0038728A">
      <w:pPr>
        <w:tabs>
          <w:tab w:val="left" w:pos="567"/>
        </w:tabs>
        <w:spacing w:after="120"/>
        <w:ind w:left="567" w:hanging="567"/>
        <w:rPr>
          <w:rFonts w:ascii="Calibri" w:eastAsia="Calibri" w:hAnsi="Calibri" w:cs="Calibri"/>
          <w:sz w:val="22"/>
        </w:rPr>
      </w:pPr>
      <w:r>
        <w:rPr>
          <w:rFonts w:ascii="Calibri" w:eastAsia="Calibri" w:hAnsi="Calibri" w:cs="Calibri"/>
          <w:sz w:val="22"/>
        </w:rPr>
        <w:tab/>
        <w:t xml:space="preserve">Hinzukommt Folgendes: In den Fällen, in denen ein Potential festgestellt wird, </w:t>
      </w:r>
      <w:r w:rsidR="00C23C49">
        <w:rPr>
          <w:rFonts w:asciiTheme="minorHAnsi" w:hAnsiTheme="minorHAnsi"/>
          <w:sz w:val="22"/>
        </w:rPr>
        <w:t>scheitert das Vorh</w:t>
      </w:r>
      <w:r w:rsidR="00C23C49">
        <w:rPr>
          <w:rFonts w:asciiTheme="minorHAnsi" w:hAnsiTheme="minorHAnsi"/>
          <w:sz w:val="22"/>
        </w:rPr>
        <w:t>a</w:t>
      </w:r>
      <w:r w:rsidR="00C23C49">
        <w:rPr>
          <w:rFonts w:asciiTheme="minorHAnsi" w:hAnsiTheme="minorHAnsi"/>
          <w:sz w:val="22"/>
        </w:rPr>
        <w:t xml:space="preserve">ben </w:t>
      </w:r>
      <w:r>
        <w:rPr>
          <w:rFonts w:asciiTheme="minorHAnsi" w:hAnsiTheme="minorHAnsi"/>
          <w:sz w:val="22"/>
        </w:rPr>
        <w:t>häufig an der Frage, wie die Erprobungss</w:t>
      </w:r>
      <w:r w:rsidR="00C23C49">
        <w:rPr>
          <w:rFonts w:asciiTheme="minorHAnsi" w:hAnsiTheme="minorHAnsi"/>
          <w:sz w:val="22"/>
        </w:rPr>
        <w:t>tudie zu finanzieren ist. Dringend erforderlich ist d</w:t>
      </w:r>
      <w:r w:rsidR="00C23C49">
        <w:rPr>
          <w:rFonts w:asciiTheme="minorHAnsi" w:hAnsiTheme="minorHAnsi"/>
          <w:sz w:val="22"/>
        </w:rPr>
        <w:t>a</w:t>
      </w:r>
      <w:r w:rsidR="00C23C49">
        <w:rPr>
          <w:rFonts w:asciiTheme="minorHAnsi" w:hAnsiTheme="minorHAnsi"/>
          <w:sz w:val="22"/>
        </w:rPr>
        <w:t>her neben ei</w:t>
      </w:r>
      <w:r>
        <w:rPr>
          <w:rFonts w:asciiTheme="minorHAnsi" w:hAnsiTheme="minorHAnsi"/>
          <w:sz w:val="22"/>
        </w:rPr>
        <w:t xml:space="preserve">ner </w:t>
      </w:r>
      <w:r w:rsidR="00C23C49">
        <w:rPr>
          <w:rFonts w:asciiTheme="minorHAnsi" w:hAnsiTheme="minorHAnsi"/>
          <w:sz w:val="22"/>
        </w:rPr>
        <w:t>Präzisierung des Potentialbegriffs die Einführung des sog. BAföG-Modells, wonach die Krankenkassen die Erprobungsst</w:t>
      </w:r>
      <w:r w:rsidR="004E7FEF">
        <w:rPr>
          <w:rFonts w:asciiTheme="minorHAnsi" w:hAnsiTheme="minorHAnsi"/>
          <w:sz w:val="22"/>
        </w:rPr>
        <w:t xml:space="preserve">udien (teilweise) vorfinanzieren </w:t>
      </w:r>
      <w:r w:rsidR="00C23C49">
        <w:rPr>
          <w:rFonts w:asciiTheme="minorHAnsi" w:hAnsiTheme="minorHAnsi"/>
          <w:sz w:val="22"/>
        </w:rPr>
        <w:t>und diejenigen, die nach e</w:t>
      </w:r>
      <w:r w:rsidR="00C23C49">
        <w:rPr>
          <w:rFonts w:asciiTheme="minorHAnsi" w:hAnsiTheme="minorHAnsi"/>
          <w:sz w:val="22"/>
        </w:rPr>
        <w:t>i</w:t>
      </w:r>
      <w:r w:rsidR="00C23C49">
        <w:rPr>
          <w:rFonts w:asciiTheme="minorHAnsi" w:hAnsiTheme="minorHAnsi"/>
          <w:sz w:val="22"/>
        </w:rPr>
        <w:t>nem Nutzennachweis die wirtschaftlichen Vorteile von der Methodenanwendung haben, das Geld dann zurückzahlen. Nur so kann die Evidenzlage im Sinne der Patientinnen und Patienten verbe</w:t>
      </w:r>
      <w:r w:rsidR="00C23C49">
        <w:rPr>
          <w:rFonts w:asciiTheme="minorHAnsi" w:hAnsiTheme="minorHAnsi"/>
          <w:sz w:val="22"/>
        </w:rPr>
        <w:t>s</w:t>
      </w:r>
      <w:r w:rsidR="00C23C49">
        <w:rPr>
          <w:rFonts w:asciiTheme="minorHAnsi" w:hAnsiTheme="minorHAnsi"/>
          <w:sz w:val="22"/>
        </w:rPr>
        <w:t>sert und der Zugang zu nutzenbringenden Methoden verbessert werden.</w:t>
      </w:r>
    </w:p>
    <w:p w:rsidR="00B51C22" w:rsidRDefault="00B51C22" w:rsidP="007B777B">
      <w:pPr>
        <w:tabs>
          <w:tab w:val="left" w:pos="567"/>
        </w:tabs>
        <w:rPr>
          <w:rFonts w:asciiTheme="minorHAnsi" w:hAnsiTheme="minorHAnsi"/>
          <w:sz w:val="22"/>
        </w:rPr>
      </w:pPr>
    </w:p>
    <w:p w:rsidR="007B777B" w:rsidRPr="0083537C" w:rsidRDefault="007B777B" w:rsidP="007B777B">
      <w:pPr>
        <w:tabs>
          <w:tab w:val="left" w:pos="567"/>
        </w:tabs>
        <w:rPr>
          <w:rFonts w:asciiTheme="minorHAnsi" w:hAnsiTheme="minorHAnsi"/>
          <w:sz w:val="22"/>
        </w:rPr>
      </w:pPr>
    </w:p>
    <w:p w:rsidR="007B777B" w:rsidRDefault="00201816" w:rsidP="007B777B">
      <w:pPr>
        <w:tabs>
          <w:tab w:val="left" w:pos="567"/>
        </w:tabs>
        <w:rPr>
          <w:rFonts w:asciiTheme="minorHAnsi" w:hAnsiTheme="minorHAnsi"/>
          <w:b/>
          <w:sz w:val="22"/>
        </w:rPr>
      </w:pPr>
      <w:r>
        <w:rPr>
          <w:rFonts w:asciiTheme="minorHAnsi" w:hAnsiTheme="minorHAnsi"/>
          <w:b/>
          <w:sz w:val="22"/>
        </w:rPr>
        <w:t>3</w:t>
      </w:r>
      <w:r w:rsidR="00F81744" w:rsidRPr="007B777B">
        <w:rPr>
          <w:rFonts w:asciiTheme="minorHAnsi" w:hAnsiTheme="minorHAnsi"/>
          <w:b/>
          <w:sz w:val="22"/>
        </w:rPr>
        <w:t>)</w:t>
      </w:r>
      <w:r w:rsidR="00F81744" w:rsidRPr="007B777B">
        <w:rPr>
          <w:rFonts w:asciiTheme="minorHAnsi" w:hAnsiTheme="minorHAnsi"/>
          <w:b/>
          <w:sz w:val="22"/>
        </w:rPr>
        <w:tab/>
      </w:r>
      <w:r w:rsidR="0038728A">
        <w:rPr>
          <w:rFonts w:asciiTheme="minorHAnsi" w:hAnsiTheme="minorHAnsi"/>
          <w:b/>
          <w:sz w:val="22"/>
        </w:rPr>
        <w:t>Eine angemessene Ausstattung mit Pflegepersonal muss wirksam sichergestellt werden</w:t>
      </w:r>
    </w:p>
    <w:p w:rsidR="0038728A" w:rsidRPr="007B777B" w:rsidRDefault="0038728A" w:rsidP="007B777B">
      <w:pPr>
        <w:tabs>
          <w:tab w:val="left" w:pos="567"/>
        </w:tabs>
        <w:rPr>
          <w:rFonts w:asciiTheme="minorHAnsi" w:hAnsiTheme="minorHAnsi"/>
          <w:b/>
          <w:sz w:val="22"/>
        </w:rPr>
      </w:pPr>
    </w:p>
    <w:p w:rsidR="00951EDB" w:rsidRDefault="00D81017" w:rsidP="007B777B">
      <w:pPr>
        <w:ind w:left="567" w:hanging="567"/>
        <w:rPr>
          <w:rFonts w:asciiTheme="minorHAnsi" w:hAnsiTheme="minorHAnsi"/>
          <w:sz w:val="22"/>
        </w:rPr>
      </w:pPr>
      <w:r>
        <w:rPr>
          <w:rFonts w:asciiTheme="minorHAnsi" w:hAnsiTheme="minorHAnsi"/>
          <w:sz w:val="22"/>
        </w:rPr>
        <w:tab/>
      </w:r>
      <w:r w:rsidR="00951EDB">
        <w:rPr>
          <w:rFonts w:asciiTheme="minorHAnsi" w:hAnsiTheme="minorHAnsi"/>
          <w:sz w:val="22"/>
        </w:rPr>
        <w:t>Pflegepersonaluntergren</w:t>
      </w:r>
      <w:r w:rsidR="0038728A">
        <w:rPr>
          <w:rFonts w:asciiTheme="minorHAnsi" w:hAnsiTheme="minorHAnsi"/>
          <w:sz w:val="22"/>
        </w:rPr>
        <w:t xml:space="preserve">zen sind </w:t>
      </w:r>
      <w:r w:rsidR="00951EDB">
        <w:rPr>
          <w:rFonts w:asciiTheme="minorHAnsi" w:hAnsiTheme="minorHAnsi"/>
          <w:sz w:val="22"/>
        </w:rPr>
        <w:t>nur der Minimalansatz, um eine sichere Versorgung zu gewäh</w:t>
      </w:r>
      <w:r w:rsidR="00951EDB">
        <w:rPr>
          <w:rFonts w:asciiTheme="minorHAnsi" w:hAnsiTheme="minorHAnsi"/>
          <w:sz w:val="22"/>
        </w:rPr>
        <w:t>r</w:t>
      </w:r>
      <w:r w:rsidR="00951EDB">
        <w:rPr>
          <w:rFonts w:asciiTheme="minorHAnsi" w:hAnsiTheme="minorHAnsi"/>
          <w:sz w:val="22"/>
        </w:rPr>
        <w:t>leisten.</w:t>
      </w:r>
    </w:p>
    <w:p w:rsidR="00951EDB" w:rsidRDefault="00951EDB" w:rsidP="007B777B">
      <w:pPr>
        <w:ind w:left="567" w:hanging="567"/>
        <w:rPr>
          <w:rFonts w:asciiTheme="minorHAnsi" w:hAnsiTheme="minorHAnsi"/>
          <w:sz w:val="22"/>
        </w:rPr>
      </w:pPr>
    </w:p>
    <w:p w:rsidR="00544986" w:rsidRDefault="00544986" w:rsidP="007B777B">
      <w:pPr>
        <w:ind w:left="567"/>
        <w:rPr>
          <w:rFonts w:asciiTheme="minorHAnsi" w:hAnsiTheme="minorHAnsi"/>
          <w:sz w:val="22"/>
        </w:rPr>
      </w:pPr>
      <w:r w:rsidRPr="00936978">
        <w:rPr>
          <w:rFonts w:asciiTheme="minorHAnsi" w:hAnsiTheme="minorHAnsi"/>
          <w:sz w:val="22"/>
        </w:rPr>
        <w:t>Die Patientenvertretung begrüßt, dass Pflegepersonaluntergrenzen wie sie gegenwärtig im §137 i SGB V geregelt sind, künftig laut Koalitionsvertrag auf alle bettenführenden Abteilungen in deu</w:t>
      </w:r>
      <w:r w:rsidRPr="00936978">
        <w:rPr>
          <w:rFonts w:asciiTheme="minorHAnsi" w:hAnsiTheme="minorHAnsi"/>
          <w:sz w:val="22"/>
        </w:rPr>
        <w:t>t</w:t>
      </w:r>
      <w:r w:rsidRPr="00936978">
        <w:rPr>
          <w:rFonts w:asciiTheme="minorHAnsi" w:hAnsiTheme="minorHAnsi"/>
          <w:sz w:val="22"/>
        </w:rPr>
        <w:t xml:space="preserve">schen Krankenhäusern ausgeweitet werden sollen. Auch die dort angekündigte weiterführende Gesetzgebung zur Herauslösung der Pflege aus dem bestehenden DRG-System wird für notwendig und zielführend gehalten, um den bestehenden ökonomischen Fehlanreizen entgegenzuwirken. Untergrenzen können nach Auffassung der Patientenvertretung aber nur ein erster Schritt sein, um </w:t>
      </w:r>
      <w:r w:rsidRPr="00936978">
        <w:rPr>
          <w:rFonts w:asciiTheme="minorHAnsi" w:hAnsiTheme="minorHAnsi"/>
          <w:sz w:val="22"/>
        </w:rPr>
        <w:lastRenderedPageBreak/>
        <w:t>den Pflegenotstand in den Griff zu bekommen. Zukünftig ist eine valide Erfassung des individuellen Patientenbedarfs erforderlich und muss in allen Krankenhäusern zur Grundlage der Pflegeplanung werden.</w:t>
      </w:r>
    </w:p>
    <w:p w:rsidR="004E7FEF" w:rsidRDefault="004E7FEF" w:rsidP="007B777B">
      <w:pPr>
        <w:tabs>
          <w:tab w:val="left" w:pos="567"/>
        </w:tabs>
        <w:ind w:left="567" w:hanging="567"/>
        <w:rPr>
          <w:rFonts w:asciiTheme="minorHAnsi" w:hAnsiTheme="minorHAnsi"/>
          <w:sz w:val="22"/>
        </w:rPr>
      </w:pPr>
    </w:p>
    <w:p w:rsidR="00201816" w:rsidRDefault="00201816">
      <w:pPr>
        <w:rPr>
          <w:rFonts w:asciiTheme="minorHAnsi" w:hAnsiTheme="minorHAnsi"/>
          <w:b/>
          <w:sz w:val="22"/>
        </w:rPr>
      </w:pPr>
    </w:p>
    <w:p w:rsidR="00AE0FCD" w:rsidRDefault="00201816" w:rsidP="007B777B">
      <w:pPr>
        <w:tabs>
          <w:tab w:val="left" w:pos="567"/>
        </w:tabs>
        <w:ind w:left="567" w:hanging="567"/>
        <w:rPr>
          <w:rFonts w:asciiTheme="minorHAnsi" w:hAnsiTheme="minorHAnsi"/>
          <w:b/>
          <w:sz w:val="22"/>
        </w:rPr>
      </w:pPr>
      <w:r>
        <w:rPr>
          <w:rFonts w:asciiTheme="minorHAnsi" w:hAnsiTheme="minorHAnsi"/>
          <w:b/>
          <w:sz w:val="22"/>
        </w:rPr>
        <w:t>4</w:t>
      </w:r>
      <w:r w:rsidR="00AE0FCD" w:rsidRPr="007B777B">
        <w:rPr>
          <w:rFonts w:asciiTheme="minorHAnsi" w:hAnsiTheme="minorHAnsi"/>
          <w:b/>
          <w:sz w:val="22"/>
        </w:rPr>
        <w:t>)</w:t>
      </w:r>
      <w:r w:rsidR="00AE0FCD" w:rsidRPr="007B777B">
        <w:rPr>
          <w:rFonts w:asciiTheme="minorHAnsi" w:hAnsiTheme="minorHAnsi"/>
          <w:b/>
          <w:sz w:val="22"/>
        </w:rPr>
        <w:tab/>
        <w:t>Digitalisierung muss vom Patientennutzen her gedacht werden</w:t>
      </w:r>
    </w:p>
    <w:p w:rsidR="007B777B" w:rsidRPr="007B777B" w:rsidRDefault="007B777B" w:rsidP="007B777B">
      <w:pPr>
        <w:tabs>
          <w:tab w:val="left" w:pos="567"/>
        </w:tabs>
        <w:ind w:left="567" w:hanging="567"/>
        <w:rPr>
          <w:rFonts w:asciiTheme="minorHAnsi" w:hAnsiTheme="minorHAnsi"/>
          <w:b/>
          <w:sz w:val="22"/>
        </w:rPr>
      </w:pPr>
    </w:p>
    <w:p w:rsidR="00951EDB" w:rsidRDefault="00110DF6" w:rsidP="007B777B">
      <w:pPr>
        <w:tabs>
          <w:tab w:val="left" w:pos="567"/>
        </w:tabs>
        <w:ind w:left="567" w:hanging="567"/>
        <w:rPr>
          <w:rFonts w:asciiTheme="minorHAnsi" w:hAnsiTheme="minorHAnsi"/>
          <w:sz w:val="22"/>
        </w:rPr>
      </w:pPr>
      <w:r>
        <w:rPr>
          <w:rFonts w:asciiTheme="minorHAnsi" w:hAnsiTheme="minorHAnsi"/>
          <w:sz w:val="22"/>
        </w:rPr>
        <w:tab/>
      </w:r>
      <w:r w:rsidRPr="00110DF6">
        <w:rPr>
          <w:rFonts w:asciiTheme="minorHAnsi" w:hAnsiTheme="minorHAnsi"/>
          <w:sz w:val="22"/>
        </w:rPr>
        <w:t xml:space="preserve">Die Patientenvertretung </w:t>
      </w:r>
      <w:r w:rsidR="00951EDB">
        <w:rPr>
          <w:rFonts w:asciiTheme="minorHAnsi" w:hAnsiTheme="minorHAnsi"/>
          <w:sz w:val="22"/>
        </w:rPr>
        <w:t>sieht in der Digitalisierung Chancen für eine stärkere Patientenorienti</w:t>
      </w:r>
      <w:r w:rsidR="00951EDB">
        <w:rPr>
          <w:rFonts w:asciiTheme="minorHAnsi" w:hAnsiTheme="minorHAnsi"/>
          <w:sz w:val="22"/>
        </w:rPr>
        <w:t>e</w:t>
      </w:r>
      <w:r w:rsidR="00951EDB">
        <w:rPr>
          <w:rFonts w:asciiTheme="minorHAnsi" w:hAnsiTheme="minorHAnsi"/>
          <w:sz w:val="22"/>
        </w:rPr>
        <w:t xml:space="preserve">rung und </w:t>
      </w:r>
      <w:r w:rsidRPr="00110DF6">
        <w:rPr>
          <w:rFonts w:asciiTheme="minorHAnsi" w:hAnsiTheme="minorHAnsi"/>
          <w:sz w:val="22"/>
        </w:rPr>
        <w:t xml:space="preserve">wirkt über den gematik Beirat an der weiteren Ausgestaltung mit. </w:t>
      </w:r>
    </w:p>
    <w:p w:rsidR="007B777B" w:rsidRDefault="007B777B" w:rsidP="007B777B">
      <w:pPr>
        <w:tabs>
          <w:tab w:val="left" w:pos="567"/>
        </w:tabs>
        <w:ind w:left="567" w:hanging="567"/>
        <w:rPr>
          <w:rFonts w:asciiTheme="minorHAnsi" w:hAnsiTheme="minorHAnsi"/>
          <w:sz w:val="22"/>
        </w:rPr>
      </w:pPr>
    </w:p>
    <w:p w:rsidR="00110DF6" w:rsidRPr="00201816" w:rsidRDefault="00110DF6" w:rsidP="007B777B">
      <w:pPr>
        <w:tabs>
          <w:tab w:val="left" w:pos="567"/>
        </w:tabs>
        <w:ind w:left="567"/>
        <w:rPr>
          <w:rFonts w:asciiTheme="minorHAnsi" w:hAnsiTheme="minorHAnsi"/>
          <w:sz w:val="22"/>
        </w:rPr>
      </w:pPr>
      <w:r w:rsidRPr="00201816">
        <w:rPr>
          <w:rFonts w:asciiTheme="minorHAnsi" w:hAnsiTheme="minorHAnsi"/>
          <w:sz w:val="22"/>
        </w:rPr>
        <w:t>Die Chance im Rahmen einer eHealth Strategie eine bessere Patientenorientierung im deutschen Gesundheitswesen zu etablieren, darf nicht vertan werden.</w:t>
      </w:r>
      <w:r w:rsidRPr="00951EDB">
        <w:rPr>
          <w:rFonts w:asciiTheme="minorHAnsi" w:hAnsiTheme="minorHAnsi"/>
          <w:i/>
          <w:sz w:val="22"/>
        </w:rPr>
        <w:t xml:space="preserve"> </w:t>
      </w:r>
      <w:r w:rsidRPr="00201816">
        <w:rPr>
          <w:rFonts w:asciiTheme="minorHAnsi" w:hAnsiTheme="minorHAnsi"/>
          <w:sz w:val="22"/>
        </w:rPr>
        <w:t xml:space="preserve">Digitale Lösungen müssen </w:t>
      </w:r>
      <w:r w:rsidR="00201816" w:rsidRPr="00201816">
        <w:rPr>
          <w:rFonts w:asciiTheme="minorHAnsi" w:hAnsiTheme="minorHAnsi"/>
          <w:sz w:val="22"/>
        </w:rPr>
        <w:t xml:space="preserve">aber </w:t>
      </w:r>
      <w:r w:rsidRPr="00201816">
        <w:rPr>
          <w:rFonts w:asciiTheme="minorHAnsi" w:hAnsiTheme="minorHAnsi"/>
          <w:sz w:val="22"/>
        </w:rPr>
        <w:t>so ko</w:t>
      </w:r>
      <w:r w:rsidRPr="00201816">
        <w:rPr>
          <w:rFonts w:asciiTheme="minorHAnsi" w:hAnsiTheme="minorHAnsi"/>
          <w:sz w:val="22"/>
        </w:rPr>
        <w:t>n</w:t>
      </w:r>
      <w:r w:rsidRPr="00201816">
        <w:rPr>
          <w:rFonts w:asciiTheme="minorHAnsi" w:hAnsiTheme="minorHAnsi"/>
          <w:sz w:val="22"/>
        </w:rPr>
        <w:t>zipiert werden, dass Patientinnen und Patienten nicht bevormundet, sondern als aktive Entscheider in der gesundheitlichen Versorgung gehört werden.</w:t>
      </w:r>
      <w:r w:rsidR="00201816">
        <w:rPr>
          <w:rFonts w:asciiTheme="minorHAnsi" w:hAnsiTheme="minorHAnsi"/>
          <w:sz w:val="22"/>
        </w:rPr>
        <w:t xml:space="preserve"> Der Patientennutzen muss das zentrale Ziel d</w:t>
      </w:r>
      <w:r w:rsidR="00201816">
        <w:rPr>
          <w:rFonts w:asciiTheme="minorHAnsi" w:hAnsiTheme="minorHAnsi"/>
          <w:sz w:val="22"/>
        </w:rPr>
        <w:t>i</w:t>
      </w:r>
      <w:r w:rsidR="00201816">
        <w:rPr>
          <w:rFonts w:asciiTheme="minorHAnsi" w:hAnsiTheme="minorHAnsi"/>
          <w:sz w:val="22"/>
        </w:rPr>
        <w:t>gitaler Anwendungen im Gesundheitswesen sein. Zudem muss jederzeit sichergestellt werden, dass nur die am Behandlungsprozess Beteiligten auf Daten zugreifen konnten. Der Schutz der Daten g</w:t>
      </w:r>
      <w:r w:rsidR="00201816">
        <w:rPr>
          <w:rFonts w:asciiTheme="minorHAnsi" w:hAnsiTheme="minorHAnsi"/>
          <w:sz w:val="22"/>
        </w:rPr>
        <w:t>e</w:t>
      </w:r>
      <w:r w:rsidR="00201816">
        <w:rPr>
          <w:rFonts w:asciiTheme="minorHAnsi" w:hAnsiTheme="minorHAnsi"/>
          <w:sz w:val="22"/>
        </w:rPr>
        <w:t xml:space="preserve">genüber allen nicht an der Behandlung Beteiligten muss sichergestellt sein. Patientendaten dürfen nicht an Zweit- und Drittnutzer, wie Softwareunternehmen, weitergegeben werden. Es muss schließlich für Patientinnen und Patienten immer möglich sein, auf die Nutzung digitaler Lösungen zu verzichten (Opt out), ohne dass dies mit Nachteilen für sie verbunden ist. </w:t>
      </w:r>
    </w:p>
    <w:p w:rsidR="00AE0FCD" w:rsidRDefault="00AE0FCD" w:rsidP="007B777B">
      <w:pPr>
        <w:tabs>
          <w:tab w:val="left" w:pos="567"/>
        </w:tabs>
        <w:rPr>
          <w:rFonts w:asciiTheme="minorHAnsi" w:hAnsiTheme="minorHAnsi"/>
          <w:sz w:val="22"/>
        </w:rPr>
      </w:pPr>
    </w:p>
    <w:p w:rsidR="007B777B" w:rsidRPr="0083537C" w:rsidRDefault="007B777B" w:rsidP="007B777B">
      <w:pPr>
        <w:tabs>
          <w:tab w:val="left" w:pos="567"/>
        </w:tabs>
        <w:rPr>
          <w:rFonts w:asciiTheme="minorHAnsi" w:hAnsiTheme="minorHAnsi"/>
          <w:sz w:val="22"/>
        </w:rPr>
      </w:pPr>
    </w:p>
    <w:p w:rsidR="004E7FEF" w:rsidRPr="007B777B" w:rsidRDefault="00201816" w:rsidP="007B777B">
      <w:pPr>
        <w:tabs>
          <w:tab w:val="left" w:pos="567"/>
        </w:tabs>
        <w:rPr>
          <w:rFonts w:asciiTheme="minorHAnsi" w:hAnsiTheme="minorHAnsi"/>
          <w:b/>
          <w:sz w:val="22"/>
        </w:rPr>
      </w:pPr>
      <w:r>
        <w:rPr>
          <w:rFonts w:asciiTheme="minorHAnsi" w:hAnsiTheme="minorHAnsi"/>
          <w:b/>
          <w:sz w:val="22"/>
        </w:rPr>
        <w:t>5</w:t>
      </w:r>
      <w:r w:rsidR="00AE0FCD" w:rsidRPr="007B777B">
        <w:rPr>
          <w:rFonts w:asciiTheme="minorHAnsi" w:hAnsiTheme="minorHAnsi"/>
          <w:b/>
          <w:sz w:val="22"/>
        </w:rPr>
        <w:t>)</w:t>
      </w:r>
      <w:r w:rsidR="00F81744" w:rsidRPr="007B777B">
        <w:rPr>
          <w:rFonts w:asciiTheme="minorHAnsi" w:hAnsiTheme="minorHAnsi"/>
          <w:b/>
          <w:sz w:val="22"/>
        </w:rPr>
        <w:tab/>
      </w:r>
      <w:r w:rsidR="004E7FEF" w:rsidRPr="007B777B">
        <w:rPr>
          <w:rFonts w:asciiTheme="minorHAnsi" w:hAnsiTheme="minorHAnsi"/>
          <w:b/>
          <w:sz w:val="22"/>
        </w:rPr>
        <w:t>Eine Neuorientierung des Festzuschuss-Systems beim Zahnersatz ist erforderlich</w:t>
      </w:r>
    </w:p>
    <w:p w:rsidR="00951EDB" w:rsidRPr="00201816" w:rsidRDefault="00951EDB" w:rsidP="007B777B">
      <w:pPr>
        <w:ind w:left="567"/>
        <w:rPr>
          <w:rFonts w:asciiTheme="minorHAnsi" w:hAnsiTheme="minorHAnsi"/>
          <w:sz w:val="22"/>
        </w:rPr>
      </w:pPr>
    </w:p>
    <w:p w:rsidR="00201816" w:rsidRDefault="00201816" w:rsidP="00201816">
      <w:pPr>
        <w:ind w:left="567"/>
        <w:rPr>
          <w:rFonts w:asciiTheme="minorHAnsi" w:hAnsiTheme="minorHAnsi"/>
          <w:sz w:val="22"/>
        </w:rPr>
      </w:pPr>
      <w:r w:rsidRPr="00201816">
        <w:rPr>
          <w:rFonts w:asciiTheme="minorHAnsi" w:hAnsiTheme="minorHAnsi"/>
          <w:sz w:val="22"/>
        </w:rPr>
        <w:t>Durch die Festzuschüsse wurde die Zahnbehandlung de facto aus der kollektiven Regulierung en</w:t>
      </w:r>
      <w:r w:rsidRPr="00201816">
        <w:rPr>
          <w:rFonts w:asciiTheme="minorHAnsi" w:hAnsiTheme="minorHAnsi"/>
          <w:sz w:val="22"/>
        </w:rPr>
        <w:t>t</w:t>
      </w:r>
      <w:r w:rsidRPr="00201816">
        <w:rPr>
          <w:rFonts w:asciiTheme="minorHAnsi" w:hAnsiTheme="minorHAnsi"/>
          <w:sz w:val="22"/>
        </w:rPr>
        <w:t>lassen. Preissteigerungen wurden bis Ende 2017 ausschließlich den Patientinnen und Patienten a</w:t>
      </w:r>
      <w:r w:rsidRPr="00201816">
        <w:rPr>
          <w:rFonts w:asciiTheme="minorHAnsi" w:hAnsiTheme="minorHAnsi"/>
          <w:sz w:val="22"/>
        </w:rPr>
        <w:t>n</w:t>
      </w:r>
      <w:r w:rsidRPr="00201816">
        <w:rPr>
          <w:rFonts w:asciiTheme="minorHAnsi" w:hAnsiTheme="minorHAnsi"/>
          <w:sz w:val="22"/>
        </w:rPr>
        <w:t>gelastet. Die GKV soll wieder in den Versorgungsprozess aktiv eingreifen können. Möglich wäre dies durch eine Umkehrung des Festzuschusssystems zu einem Festpreissystem.</w:t>
      </w:r>
    </w:p>
    <w:p w:rsidR="00201816" w:rsidRPr="00201816" w:rsidRDefault="00201816" w:rsidP="00201816">
      <w:pPr>
        <w:ind w:left="567"/>
        <w:rPr>
          <w:rFonts w:asciiTheme="minorHAnsi" w:hAnsiTheme="minorHAnsi"/>
          <w:sz w:val="22"/>
        </w:rPr>
      </w:pPr>
    </w:p>
    <w:p w:rsidR="00201816" w:rsidRDefault="00201816" w:rsidP="00201816">
      <w:pPr>
        <w:ind w:left="567"/>
        <w:rPr>
          <w:rFonts w:asciiTheme="minorHAnsi" w:hAnsiTheme="minorHAnsi"/>
          <w:sz w:val="22"/>
        </w:rPr>
      </w:pPr>
      <w:r w:rsidRPr="00201816">
        <w:rPr>
          <w:rFonts w:asciiTheme="minorHAnsi" w:hAnsiTheme="minorHAnsi"/>
          <w:sz w:val="22"/>
        </w:rPr>
        <w:t>Nicht nur bei der Kieferorthopädie, sondern auch bei in der gesamten zahnärztlichen Versorgung fehlt es, jenseits der Regelversorgung, an Nutzenbewertung für neue Methoden, an Qualitätssich</w:t>
      </w:r>
      <w:r w:rsidRPr="00201816">
        <w:rPr>
          <w:rFonts w:asciiTheme="minorHAnsi" w:hAnsiTheme="minorHAnsi"/>
          <w:sz w:val="22"/>
        </w:rPr>
        <w:t>e</w:t>
      </w:r>
      <w:r w:rsidRPr="00201816">
        <w:rPr>
          <w:rFonts w:asciiTheme="minorHAnsi" w:hAnsiTheme="minorHAnsi"/>
          <w:sz w:val="22"/>
        </w:rPr>
        <w:t xml:space="preserve">rung der Behandlung und an einer Kostenkontrolle. Die Patientenvertretung fordert daher, dass der G-BA für die Qualitätssicherung aller Behandlungen zuständig wird, die ganz oder teilweise mit GKV- Mitteln bezahlt werden. </w:t>
      </w:r>
    </w:p>
    <w:p w:rsidR="00201816" w:rsidRDefault="00201816" w:rsidP="00201816">
      <w:pPr>
        <w:ind w:left="567"/>
        <w:rPr>
          <w:rFonts w:asciiTheme="minorHAnsi" w:hAnsiTheme="minorHAnsi"/>
          <w:sz w:val="22"/>
        </w:rPr>
      </w:pPr>
    </w:p>
    <w:p w:rsidR="00A3249E" w:rsidRPr="00951EDB" w:rsidRDefault="00A3249E" w:rsidP="00201816">
      <w:pPr>
        <w:ind w:left="567"/>
        <w:rPr>
          <w:rFonts w:asciiTheme="minorHAnsi" w:hAnsiTheme="minorHAnsi"/>
          <w:sz w:val="22"/>
        </w:rPr>
      </w:pPr>
      <w:r w:rsidRPr="00951EDB">
        <w:rPr>
          <w:rFonts w:asciiTheme="minorHAnsi" w:hAnsiTheme="minorHAnsi"/>
          <w:sz w:val="22"/>
        </w:rPr>
        <w:t>Die Zahnärzte müssen konsequenterweise auch in die Kommission zur einheitlichen Honorierung einbezogen werden.</w:t>
      </w:r>
    </w:p>
    <w:p w:rsidR="00B51C22" w:rsidRPr="00951EDB" w:rsidRDefault="00B51C22" w:rsidP="007B777B">
      <w:pPr>
        <w:tabs>
          <w:tab w:val="left" w:pos="567"/>
        </w:tabs>
        <w:ind w:left="567"/>
        <w:rPr>
          <w:rFonts w:asciiTheme="minorHAnsi" w:hAnsiTheme="minorHAnsi"/>
          <w:sz w:val="22"/>
        </w:rPr>
      </w:pPr>
    </w:p>
    <w:p w:rsidR="004E7FEF" w:rsidRPr="00951EDB" w:rsidRDefault="004E7FEF" w:rsidP="007B777B">
      <w:pPr>
        <w:tabs>
          <w:tab w:val="left" w:pos="567"/>
        </w:tabs>
        <w:rPr>
          <w:rFonts w:asciiTheme="minorHAnsi" w:hAnsiTheme="minorHAnsi"/>
          <w:sz w:val="22"/>
        </w:rPr>
      </w:pPr>
    </w:p>
    <w:p w:rsidR="00951EDB" w:rsidRPr="007B777B" w:rsidRDefault="00201816" w:rsidP="007B777B">
      <w:pPr>
        <w:tabs>
          <w:tab w:val="left" w:pos="567"/>
        </w:tabs>
        <w:ind w:left="567" w:hanging="567"/>
        <w:rPr>
          <w:rFonts w:asciiTheme="minorHAnsi" w:hAnsiTheme="minorHAnsi"/>
          <w:b/>
          <w:sz w:val="22"/>
        </w:rPr>
      </w:pPr>
      <w:r>
        <w:rPr>
          <w:rFonts w:asciiTheme="minorHAnsi" w:hAnsiTheme="minorHAnsi"/>
          <w:b/>
          <w:sz w:val="22"/>
        </w:rPr>
        <w:t>6</w:t>
      </w:r>
      <w:r w:rsidR="00AE0FCD" w:rsidRPr="007B777B">
        <w:rPr>
          <w:rFonts w:asciiTheme="minorHAnsi" w:hAnsiTheme="minorHAnsi"/>
          <w:b/>
          <w:sz w:val="22"/>
        </w:rPr>
        <w:t>)</w:t>
      </w:r>
      <w:r w:rsidR="00F81744" w:rsidRPr="007B777B">
        <w:rPr>
          <w:rFonts w:asciiTheme="minorHAnsi" w:hAnsiTheme="minorHAnsi"/>
          <w:b/>
          <w:sz w:val="22"/>
        </w:rPr>
        <w:tab/>
      </w:r>
      <w:r w:rsidR="00951EDB" w:rsidRPr="007B777B">
        <w:rPr>
          <w:rFonts w:asciiTheme="minorHAnsi" w:hAnsiTheme="minorHAnsi"/>
          <w:b/>
          <w:sz w:val="22"/>
        </w:rPr>
        <w:t>Selektivverträge müssen den Patientinnen und Patienten nutzen, nicht dem Kassenwettbewerb</w:t>
      </w:r>
    </w:p>
    <w:p w:rsidR="00951EDB" w:rsidRDefault="00951EDB" w:rsidP="007B777B">
      <w:pPr>
        <w:tabs>
          <w:tab w:val="left" w:pos="567"/>
        </w:tabs>
        <w:rPr>
          <w:rFonts w:asciiTheme="minorHAnsi" w:hAnsiTheme="minorHAnsi"/>
          <w:sz w:val="22"/>
        </w:rPr>
      </w:pPr>
    </w:p>
    <w:p w:rsidR="00B51C22" w:rsidRDefault="00951EDB" w:rsidP="007B777B">
      <w:pPr>
        <w:tabs>
          <w:tab w:val="left" w:pos="567"/>
        </w:tabs>
        <w:ind w:left="567" w:hanging="567"/>
        <w:rPr>
          <w:rFonts w:asciiTheme="minorHAnsi" w:hAnsiTheme="minorHAnsi"/>
          <w:sz w:val="22"/>
        </w:rPr>
      </w:pPr>
      <w:r>
        <w:rPr>
          <w:rFonts w:asciiTheme="minorHAnsi" w:hAnsiTheme="minorHAnsi"/>
          <w:sz w:val="22"/>
        </w:rPr>
        <w:tab/>
      </w:r>
      <w:r w:rsidR="004E7FEF">
        <w:rPr>
          <w:rFonts w:asciiTheme="minorHAnsi" w:hAnsiTheme="minorHAnsi"/>
          <w:sz w:val="22"/>
        </w:rPr>
        <w:t>Die Regelversorgung muss gestärkt werden, der Wettbewerbsgedanke im Bereich der Selektivve</w:t>
      </w:r>
      <w:r w:rsidR="004E7FEF">
        <w:rPr>
          <w:rFonts w:asciiTheme="minorHAnsi" w:hAnsiTheme="minorHAnsi"/>
          <w:sz w:val="22"/>
        </w:rPr>
        <w:t>r</w:t>
      </w:r>
      <w:r w:rsidR="004E7FEF">
        <w:rPr>
          <w:rFonts w:asciiTheme="minorHAnsi" w:hAnsiTheme="minorHAnsi"/>
          <w:sz w:val="22"/>
        </w:rPr>
        <w:t xml:space="preserve">träge kann nur funktionieren, wenn Transparenz </w:t>
      </w:r>
      <w:r w:rsidR="00201816">
        <w:rPr>
          <w:rFonts w:asciiTheme="minorHAnsi" w:hAnsiTheme="minorHAnsi"/>
          <w:sz w:val="22"/>
        </w:rPr>
        <w:t xml:space="preserve">und Evidenz </w:t>
      </w:r>
      <w:r w:rsidR="004E7FEF">
        <w:rPr>
          <w:rFonts w:asciiTheme="minorHAnsi" w:hAnsiTheme="minorHAnsi"/>
          <w:sz w:val="22"/>
        </w:rPr>
        <w:t>geschaffen wird</w:t>
      </w:r>
      <w:r w:rsidR="007B777B">
        <w:rPr>
          <w:rFonts w:asciiTheme="minorHAnsi" w:hAnsiTheme="minorHAnsi"/>
          <w:sz w:val="22"/>
        </w:rPr>
        <w:t>.</w:t>
      </w:r>
    </w:p>
    <w:p w:rsidR="007B777B" w:rsidRDefault="007B777B" w:rsidP="007B777B">
      <w:pPr>
        <w:ind w:left="567"/>
        <w:rPr>
          <w:rFonts w:asciiTheme="minorHAnsi" w:hAnsiTheme="minorHAnsi"/>
          <w:sz w:val="22"/>
        </w:rPr>
      </w:pPr>
    </w:p>
    <w:p w:rsidR="00A3249E" w:rsidRDefault="00A3249E" w:rsidP="007B777B">
      <w:pPr>
        <w:ind w:left="567"/>
        <w:rPr>
          <w:rFonts w:asciiTheme="minorHAnsi" w:hAnsiTheme="minorHAnsi"/>
          <w:sz w:val="22"/>
        </w:rPr>
      </w:pPr>
      <w:r>
        <w:rPr>
          <w:rFonts w:asciiTheme="minorHAnsi" w:hAnsiTheme="minorHAnsi"/>
          <w:sz w:val="22"/>
        </w:rPr>
        <w:t xml:space="preserve">Selektivverträge als Wettbewerbsmodell der Versorgung sind nur zielführend, wenn </w:t>
      </w:r>
      <w:r w:rsidR="007D7AC0">
        <w:rPr>
          <w:rFonts w:asciiTheme="minorHAnsi" w:hAnsiTheme="minorHAnsi"/>
          <w:sz w:val="22"/>
        </w:rPr>
        <w:t>innovative Versorgungsformen erprobt werden</w:t>
      </w:r>
      <w:r w:rsidR="00201816">
        <w:rPr>
          <w:rFonts w:asciiTheme="minorHAnsi" w:hAnsiTheme="minorHAnsi"/>
          <w:sz w:val="22"/>
        </w:rPr>
        <w:t xml:space="preserve">. Instrument im GKV-Wettbewerb werden sie nur, </w:t>
      </w:r>
      <w:r w:rsidR="007D7AC0">
        <w:rPr>
          <w:rFonts w:asciiTheme="minorHAnsi" w:hAnsiTheme="minorHAnsi"/>
          <w:sz w:val="22"/>
        </w:rPr>
        <w:t xml:space="preserve">wenn </w:t>
      </w:r>
      <w:r>
        <w:rPr>
          <w:rFonts w:asciiTheme="minorHAnsi" w:hAnsiTheme="minorHAnsi"/>
          <w:sz w:val="22"/>
        </w:rPr>
        <w:t>auch für Patientinnen und Patienten vollständige Transparenz zur Qualität der dort umgesetzten Verso</w:t>
      </w:r>
      <w:r>
        <w:rPr>
          <w:rFonts w:asciiTheme="minorHAnsi" w:hAnsiTheme="minorHAnsi"/>
          <w:sz w:val="22"/>
        </w:rPr>
        <w:t>r</w:t>
      </w:r>
      <w:r>
        <w:rPr>
          <w:rFonts w:asciiTheme="minorHAnsi" w:hAnsiTheme="minorHAnsi"/>
          <w:sz w:val="22"/>
        </w:rPr>
        <w:t>gung besteht. Die fehlt bislang vollständig. Stattdessen ist zu konstatieren, dass teilweise Verso</w:t>
      </w:r>
      <w:r>
        <w:rPr>
          <w:rFonts w:asciiTheme="minorHAnsi" w:hAnsiTheme="minorHAnsi"/>
          <w:sz w:val="22"/>
        </w:rPr>
        <w:t>r</w:t>
      </w:r>
      <w:r>
        <w:rPr>
          <w:rFonts w:asciiTheme="minorHAnsi" w:hAnsiTheme="minorHAnsi"/>
          <w:sz w:val="22"/>
        </w:rPr>
        <w:t>gungen aus dem Kollektivvertrag herausgehalten werden, um auf der Basis intransparenter Qual</w:t>
      </w:r>
      <w:r>
        <w:rPr>
          <w:rFonts w:asciiTheme="minorHAnsi" w:hAnsiTheme="minorHAnsi"/>
          <w:sz w:val="22"/>
        </w:rPr>
        <w:t>i</w:t>
      </w:r>
      <w:r>
        <w:rPr>
          <w:rFonts w:asciiTheme="minorHAnsi" w:hAnsiTheme="minorHAnsi"/>
          <w:sz w:val="22"/>
        </w:rPr>
        <w:t>tätskriterien kassenspezifische Angebote stricken zu können.</w:t>
      </w:r>
    </w:p>
    <w:p w:rsidR="00A3249E" w:rsidRDefault="00A3249E" w:rsidP="007B777B">
      <w:pPr>
        <w:ind w:left="567"/>
        <w:rPr>
          <w:rFonts w:asciiTheme="minorHAnsi" w:hAnsiTheme="minorHAnsi"/>
          <w:sz w:val="22"/>
        </w:rPr>
      </w:pPr>
    </w:p>
    <w:p w:rsidR="00A3249E" w:rsidRDefault="00A3249E" w:rsidP="007B777B">
      <w:pPr>
        <w:ind w:left="567"/>
        <w:rPr>
          <w:rFonts w:asciiTheme="minorHAnsi" w:hAnsiTheme="minorHAnsi"/>
          <w:sz w:val="22"/>
        </w:rPr>
      </w:pPr>
      <w:r>
        <w:rPr>
          <w:rFonts w:asciiTheme="minorHAnsi" w:hAnsiTheme="minorHAnsi"/>
          <w:sz w:val="22"/>
        </w:rPr>
        <w:t>Aus Sicht der Patientenvertretung ist es zu begrüßen, dass mit dem Innovationsausschuss ein I</w:t>
      </w:r>
      <w:r>
        <w:rPr>
          <w:rFonts w:asciiTheme="minorHAnsi" w:hAnsiTheme="minorHAnsi"/>
          <w:sz w:val="22"/>
        </w:rPr>
        <w:t>n</w:t>
      </w:r>
      <w:r>
        <w:rPr>
          <w:rFonts w:asciiTheme="minorHAnsi" w:hAnsiTheme="minorHAnsi"/>
          <w:sz w:val="22"/>
        </w:rPr>
        <w:t>strument geschaffen wurde, um neue Versorgungsformen transparent im Hinblick auf die Verso</w:t>
      </w:r>
      <w:r>
        <w:rPr>
          <w:rFonts w:asciiTheme="minorHAnsi" w:hAnsiTheme="minorHAnsi"/>
          <w:sz w:val="22"/>
        </w:rPr>
        <w:t>r</w:t>
      </w:r>
      <w:r>
        <w:rPr>
          <w:rFonts w:asciiTheme="minorHAnsi" w:hAnsiTheme="minorHAnsi"/>
          <w:sz w:val="22"/>
        </w:rPr>
        <w:t>gungsergebnisse überprüfen zu können.</w:t>
      </w:r>
      <w:r w:rsidR="00201816">
        <w:rPr>
          <w:rFonts w:asciiTheme="minorHAnsi" w:hAnsiTheme="minorHAnsi"/>
          <w:sz w:val="22"/>
        </w:rPr>
        <w:t xml:space="preserve"> Dieses Prinzip</w:t>
      </w:r>
      <w:r w:rsidR="007D7AC0">
        <w:rPr>
          <w:rFonts w:asciiTheme="minorHAnsi" w:hAnsiTheme="minorHAnsi"/>
          <w:sz w:val="22"/>
        </w:rPr>
        <w:t xml:space="preserve"> sollte für alle Selekivverträge gelten. </w:t>
      </w:r>
    </w:p>
    <w:p w:rsidR="00A3249E" w:rsidRDefault="00A3249E" w:rsidP="007B777B">
      <w:pPr>
        <w:ind w:left="567"/>
        <w:rPr>
          <w:rFonts w:asciiTheme="minorHAnsi" w:hAnsiTheme="minorHAnsi"/>
          <w:sz w:val="22"/>
        </w:rPr>
      </w:pPr>
      <w:r>
        <w:rPr>
          <w:rFonts w:asciiTheme="minorHAnsi" w:hAnsiTheme="minorHAnsi"/>
          <w:sz w:val="22"/>
        </w:rPr>
        <w:t>Versorgungen, die sich als qualitativ überlegen erwiesen haben, müssen dann aber auch zwingend in die Regelversorgung des Kollektivvertrages überführt werden. Hierzu fehlt bislang leider eine g</w:t>
      </w:r>
      <w:r>
        <w:rPr>
          <w:rFonts w:asciiTheme="minorHAnsi" w:hAnsiTheme="minorHAnsi"/>
          <w:sz w:val="22"/>
        </w:rPr>
        <w:t>e</w:t>
      </w:r>
      <w:r>
        <w:rPr>
          <w:rFonts w:asciiTheme="minorHAnsi" w:hAnsiTheme="minorHAnsi"/>
          <w:sz w:val="22"/>
        </w:rPr>
        <w:t>setzgeberische Klarstellung.</w:t>
      </w:r>
    </w:p>
    <w:p w:rsidR="007B777B" w:rsidRDefault="007B777B" w:rsidP="007B777B">
      <w:pPr>
        <w:ind w:left="567"/>
        <w:rPr>
          <w:rFonts w:asciiTheme="minorHAnsi" w:hAnsiTheme="minorHAnsi"/>
          <w:sz w:val="22"/>
        </w:rPr>
      </w:pPr>
    </w:p>
    <w:p w:rsidR="007B777B" w:rsidRDefault="007B777B" w:rsidP="00201816">
      <w:pPr>
        <w:rPr>
          <w:rFonts w:asciiTheme="minorHAnsi" w:hAnsiTheme="minorHAnsi"/>
          <w:sz w:val="22"/>
        </w:rPr>
      </w:pPr>
    </w:p>
    <w:p w:rsidR="00354611" w:rsidRPr="007B777B" w:rsidRDefault="00354611" w:rsidP="007B777B">
      <w:pPr>
        <w:ind w:left="567" w:hanging="567"/>
        <w:rPr>
          <w:rFonts w:ascii="Calibri" w:eastAsia="Calibri" w:hAnsi="Calibri" w:cs="Calibri"/>
          <w:b/>
          <w:sz w:val="22"/>
        </w:rPr>
      </w:pPr>
      <w:r w:rsidRPr="007B777B">
        <w:rPr>
          <w:rFonts w:asciiTheme="minorHAnsi" w:hAnsiTheme="minorHAnsi"/>
          <w:b/>
          <w:sz w:val="22"/>
        </w:rPr>
        <w:t>7)</w:t>
      </w:r>
      <w:r w:rsidRPr="007B777B">
        <w:rPr>
          <w:rFonts w:asciiTheme="minorHAnsi" w:hAnsiTheme="minorHAnsi"/>
          <w:b/>
          <w:sz w:val="22"/>
        </w:rPr>
        <w:tab/>
      </w:r>
      <w:r w:rsidRPr="007B777B">
        <w:rPr>
          <w:rFonts w:ascii="Calibri" w:eastAsia="Calibri" w:hAnsi="Calibri" w:cs="Calibri"/>
          <w:b/>
          <w:sz w:val="22"/>
        </w:rPr>
        <w:t>Sicherung der Versorgungsqualität durch ein funktionierendes System der Qualitätssicherung</w:t>
      </w:r>
    </w:p>
    <w:p w:rsidR="00354611" w:rsidRDefault="00354611" w:rsidP="007B777B">
      <w:pPr>
        <w:ind w:left="567" w:hanging="567"/>
        <w:rPr>
          <w:rFonts w:ascii="Calibri" w:eastAsia="Calibri" w:hAnsi="Calibri" w:cs="Calibri"/>
          <w:sz w:val="22"/>
        </w:rPr>
      </w:pPr>
    </w:p>
    <w:p w:rsidR="00354611" w:rsidRDefault="00354611" w:rsidP="007B777B">
      <w:pPr>
        <w:ind w:left="567"/>
        <w:rPr>
          <w:rFonts w:ascii="Calibri" w:eastAsia="Calibri" w:hAnsi="Calibri" w:cs="Calibri"/>
          <w:sz w:val="22"/>
        </w:rPr>
      </w:pPr>
      <w:r>
        <w:rPr>
          <w:rFonts w:ascii="Calibri" w:eastAsia="Calibri" w:hAnsi="Calibri" w:cs="Calibri"/>
          <w:sz w:val="22"/>
        </w:rPr>
        <w:t xml:space="preserve">Die Qualität gesundheitlicher Versorgung ist insbesondere durch zwei Aspekte bestimmt: durch die richtige, individuell passende Behandlungsentscheidung (Qualität der Indikationsstellung) und durch die optimale Erbringung der Behandlung, auch über Sektorengrenzen hinweg (Qualität der Leistungserbringung). Zur Qualität der Leistungserbringung gehören neben deren Zugänglichkeit (angemessen zeitnah, barrierefrei etc.) insbesondere auch deren  - am Nutzen für die </w:t>
      </w:r>
      <w:r w:rsidR="00CB6843">
        <w:rPr>
          <w:rFonts w:ascii="Calibri" w:eastAsia="Calibri" w:hAnsi="Calibri" w:cs="Calibri"/>
          <w:sz w:val="22"/>
        </w:rPr>
        <w:t>Patientinnen und Patienten</w:t>
      </w:r>
      <w:r>
        <w:rPr>
          <w:rFonts w:ascii="Calibri" w:eastAsia="Calibri" w:hAnsi="Calibri" w:cs="Calibri"/>
          <w:sz w:val="22"/>
        </w:rPr>
        <w:t xml:space="preserve"> zu messenden  - Ergebnisse (patientenrelevante Outcomes). </w:t>
      </w:r>
    </w:p>
    <w:p w:rsidR="007B777B" w:rsidRDefault="007B777B" w:rsidP="007B777B">
      <w:pPr>
        <w:ind w:left="567"/>
        <w:rPr>
          <w:rFonts w:ascii="Calibri" w:eastAsia="Calibri" w:hAnsi="Calibri" w:cs="Calibri"/>
          <w:sz w:val="22"/>
        </w:rPr>
      </w:pPr>
    </w:p>
    <w:p w:rsidR="00354611" w:rsidRDefault="00354611" w:rsidP="007B777B">
      <w:pPr>
        <w:ind w:left="567"/>
        <w:rPr>
          <w:rFonts w:ascii="Calibri" w:eastAsia="Calibri" w:hAnsi="Calibri" w:cs="Calibri"/>
          <w:sz w:val="22"/>
        </w:rPr>
      </w:pPr>
      <w:r>
        <w:rPr>
          <w:rFonts w:ascii="Calibri" w:eastAsia="Calibri" w:hAnsi="Calibri" w:cs="Calibri"/>
          <w:sz w:val="22"/>
        </w:rPr>
        <w:t>Externe Qualitätssicherung soll all diese Aspekte messen, befördern und  auch gegenüber der Ö</w:t>
      </w:r>
      <w:r>
        <w:rPr>
          <w:rFonts w:ascii="Calibri" w:eastAsia="Calibri" w:hAnsi="Calibri" w:cs="Calibri"/>
          <w:sz w:val="22"/>
        </w:rPr>
        <w:t>f</w:t>
      </w:r>
      <w:r>
        <w:rPr>
          <w:rFonts w:ascii="Calibri" w:eastAsia="Calibri" w:hAnsi="Calibri" w:cs="Calibri"/>
          <w:sz w:val="22"/>
        </w:rPr>
        <w:t>fentlichkeit vergleichbar</w:t>
      </w:r>
      <w:r w:rsidR="001D295E">
        <w:rPr>
          <w:rFonts w:ascii="Calibri" w:eastAsia="Calibri" w:hAnsi="Calibri" w:cs="Calibri"/>
          <w:sz w:val="22"/>
        </w:rPr>
        <w:t xml:space="preserve"> transparent machen, um Patienti</w:t>
      </w:r>
      <w:r>
        <w:rPr>
          <w:rFonts w:ascii="Calibri" w:eastAsia="Calibri" w:hAnsi="Calibri" w:cs="Calibri"/>
          <w:sz w:val="22"/>
        </w:rPr>
        <w:t>nnen</w:t>
      </w:r>
      <w:r w:rsidR="001D295E">
        <w:rPr>
          <w:rFonts w:ascii="Calibri" w:eastAsia="Calibri" w:hAnsi="Calibri" w:cs="Calibri"/>
          <w:sz w:val="22"/>
        </w:rPr>
        <w:t xml:space="preserve"> und Patienten</w:t>
      </w:r>
      <w:r>
        <w:rPr>
          <w:rFonts w:ascii="Calibri" w:eastAsia="Calibri" w:hAnsi="Calibri" w:cs="Calibri"/>
          <w:sz w:val="22"/>
        </w:rPr>
        <w:t xml:space="preserve"> bei der Orientierung im Versorgungssystem zu unterstützen. Die derzeitigen Indikatoren der externen QS erfassen j</w:t>
      </w:r>
      <w:r>
        <w:rPr>
          <w:rFonts w:ascii="Calibri" w:eastAsia="Calibri" w:hAnsi="Calibri" w:cs="Calibri"/>
          <w:sz w:val="22"/>
        </w:rPr>
        <w:t>e</w:t>
      </w:r>
      <w:r>
        <w:rPr>
          <w:rFonts w:ascii="Calibri" w:eastAsia="Calibri" w:hAnsi="Calibri" w:cs="Calibri"/>
          <w:sz w:val="22"/>
        </w:rPr>
        <w:t>doch nur sehr wenige Ausschnitte - vor allem der stationären Versorgung. Leistungserbringerve</w:t>
      </w:r>
      <w:r>
        <w:rPr>
          <w:rFonts w:ascii="Calibri" w:eastAsia="Calibri" w:hAnsi="Calibri" w:cs="Calibri"/>
          <w:sz w:val="22"/>
        </w:rPr>
        <w:t>r</w:t>
      </w:r>
      <w:r>
        <w:rPr>
          <w:rFonts w:ascii="Calibri" w:eastAsia="Calibri" w:hAnsi="Calibri" w:cs="Calibri"/>
          <w:sz w:val="22"/>
        </w:rPr>
        <w:t xml:space="preserve">gleiche im ambulanten Sektor sind hierdurch nicht möglich und werden von KBV und KZBV auch nicht gewollt. Hier sind gesetzliche Klarstellungen notwendig. </w:t>
      </w:r>
    </w:p>
    <w:p w:rsidR="007B777B" w:rsidRDefault="007B777B" w:rsidP="007B777B">
      <w:pPr>
        <w:ind w:left="567"/>
        <w:rPr>
          <w:rFonts w:ascii="Calibri" w:eastAsia="Calibri" w:hAnsi="Calibri" w:cs="Calibri"/>
          <w:sz w:val="22"/>
        </w:rPr>
      </w:pPr>
    </w:p>
    <w:p w:rsidR="00354611" w:rsidRDefault="00354611" w:rsidP="007B777B">
      <w:pPr>
        <w:ind w:left="567"/>
        <w:rPr>
          <w:rFonts w:ascii="Calibri" w:eastAsia="Calibri" w:hAnsi="Calibri" w:cs="Calibri"/>
          <w:sz w:val="22"/>
        </w:rPr>
      </w:pPr>
      <w:r>
        <w:rPr>
          <w:rFonts w:ascii="Calibri" w:eastAsia="Calibri" w:hAnsi="Calibri" w:cs="Calibri"/>
          <w:sz w:val="22"/>
        </w:rPr>
        <w:t>Insbesondere die Aspekte des Zugangs zur Versorgung, der angemessenen Indikationsstellung, die Berücksichtigung der partizipativen Behandlungsentscheidung, der Koordination der Versorgung (insbesondere an den Sektorenübergängen) sowie der patientenrelevanten Ergebnisqualität we</w:t>
      </w:r>
      <w:r>
        <w:rPr>
          <w:rFonts w:ascii="Calibri" w:eastAsia="Calibri" w:hAnsi="Calibri" w:cs="Calibri"/>
          <w:sz w:val="22"/>
        </w:rPr>
        <w:t>r</w:t>
      </w:r>
      <w:r>
        <w:rPr>
          <w:rFonts w:ascii="Calibri" w:eastAsia="Calibri" w:hAnsi="Calibri" w:cs="Calibri"/>
          <w:sz w:val="22"/>
        </w:rPr>
        <w:t>den derzeit von der externen QS kaum abgebildet. Um dies zu ändern und weil sich diese  Qual</w:t>
      </w:r>
      <w:r>
        <w:rPr>
          <w:rFonts w:ascii="Calibri" w:eastAsia="Calibri" w:hAnsi="Calibri" w:cs="Calibri"/>
          <w:sz w:val="22"/>
        </w:rPr>
        <w:t>i</w:t>
      </w:r>
      <w:r>
        <w:rPr>
          <w:rFonts w:ascii="Calibri" w:eastAsia="Calibri" w:hAnsi="Calibri" w:cs="Calibri"/>
          <w:sz w:val="22"/>
        </w:rPr>
        <w:t xml:space="preserve">täts-Aspekte nicht ohne Patientensicht adäquat abbilden lassen setzt die Patientenvertretung sich seit 2004 für Patientenbefragungen als gleichwertige Datenquelle in der externen QS ein. </w:t>
      </w:r>
      <w:r w:rsidR="00CB6843">
        <w:rPr>
          <w:rFonts w:ascii="Calibri" w:eastAsia="Calibri" w:hAnsi="Calibri" w:cs="Calibri"/>
          <w:sz w:val="22"/>
        </w:rPr>
        <w:t>Auch hier kommt die gemeinsame Selbstverwaltung nur schleppend voran und es muss – notfalls mit geset</w:t>
      </w:r>
      <w:r w:rsidR="00CB6843">
        <w:rPr>
          <w:rFonts w:ascii="Calibri" w:eastAsia="Calibri" w:hAnsi="Calibri" w:cs="Calibri"/>
          <w:sz w:val="22"/>
        </w:rPr>
        <w:t>z</w:t>
      </w:r>
      <w:r w:rsidR="00CB6843">
        <w:rPr>
          <w:rFonts w:ascii="Calibri" w:eastAsia="Calibri" w:hAnsi="Calibri" w:cs="Calibri"/>
          <w:sz w:val="22"/>
        </w:rPr>
        <w:t>geberischem Druck – sichergestellt werden, dass diese auch zeitnah und verbindlich Verwendung finden.</w:t>
      </w:r>
    </w:p>
    <w:p w:rsidR="00354611" w:rsidRPr="00CB6843" w:rsidRDefault="00354611" w:rsidP="00CB6843">
      <w:pPr>
        <w:rPr>
          <w:rFonts w:ascii="Calibri" w:eastAsia="Calibri" w:hAnsi="Calibri" w:cs="Calibri"/>
          <w:sz w:val="22"/>
        </w:rPr>
      </w:pPr>
    </w:p>
    <w:p w:rsidR="00354611" w:rsidRDefault="00354611" w:rsidP="007B777B">
      <w:pPr>
        <w:ind w:left="567"/>
        <w:rPr>
          <w:rFonts w:ascii="Calibri" w:eastAsia="Calibri" w:hAnsi="Calibri" w:cs="Calibri"/>
          <w:sz w:val="22"/>
        </w:rPr>
      </w:pPr>
      <w:r>
        <w:rPr>
          <w:rFonts w:ascii="Calibri" w:eastAsia="Calibri" w:hAnsi="Calibri" w:cs="Calibri"/>
          <w:sz w:val="22"/>
        </w:rPr>
        <w:t>Die Patientenvertretung hat durch ihren beharrlichen Einsatz dazu beigetragen, dass ein strukt</w:t>
      </w:r>
      <w:r>
        <w:rPr>
          <w:rFonts w:ascii="Calibri" w:eastAsia="Calibri" w:hAnsi="Calibri" w:cs="Calibri"/>
          <w:sz w:val="22"/>
        </w:rPr>
        <w:t>u</w:t>
      </w:r>
      <w:r>
        <w:rPr>
          <w:rFonts w:ascii="Calibri" w:eastAsia="Calibri" w:hAnsi="Calibri" w:cs="Calibri"/>
          <w:sz w:val="22"/>
        </w:rPr>
        <w:t>riertes Verfahren zur Erschließung und Priorisierung neuer QS-Verfahrensthemen vom GBA entw</w:t>
      </w:r>
      <w:r>
        <w:rPr>
          <w:rFonts w:ascii="Calibri" w:eastAsia="Calibri" w:hAnsi="Calibri" w:cs="Calibri"/>
          <w:sz w:val="22"/>
        </w:rPr>
        <w:t>i</w:t>
      </w:r>
      <w:r>
        <w:rPr>
          <w:rFonts w:ascii="Calibri" w:eastAsia="Calibri" w:hAnsi="Calibri" w:cs="Calibri"/>
          <w:sz w:val="22"/>
        </w:rPr>
        <w:t>ckelt und beschlossen wurde (sog. „TuP-Verfahren“). Dieses wird von den Trägern des GBA jedoch nur sehr schleppend umgesetzt  -  in der Pipeline  warten deshalb wichtige elaborierte Themenvo</w:t>
      </w:r>
      <w:r>
        <w:rPr>
          <w:rFonts w:ascii="Calibri" w:eastAsia="Calibri" w:hAnsi="Calibri" w:cs="Calibri"/>
          <w:sz w:val="22"/>
        </w:rPr>
        <w:t>r</w:t>
      </w:r>
      <w:r>
        <w:rPr>
          <w:rFonts w:ascii="Calibri" w:eastAsia="Calibri" w:hAnsi="Calibri" w:cs="Calibri"/>
          <w:sz w:val="22"/>
        </w:rPr>
        <w:t>schläge auf Beratung in den Gremien. Hier sind strikte Verfahrensvorgaben  mit öffentlicher B</w:t>
      </w:r>
      <w:r>
        <w:rPr>
          <w:rFonts w:ascii="Calibri" w:eastAsia="Calibri" w:hAnsi="Calibri" w:cs="Calibri"/>
          <w:sz w:val="22"/>
        </w:rPr>
        <w:t>e</w:t>
      </w:r>
      <w:r>
        <w:rPr>
          <w:rFonts w:ascii="Calibri" w:eastAsia="Calibri" w:hAnsi="Calibri" w:cs="Calibri"/>
          <w:sz w:val="22"/>
        </w:rPr>
        <w:t xml:space="preserve">richtspflicht notwendig. </w:t>
      </w:r>
    </w:p>
    <w:p w:rsidR="00354611" w:rsidRPr="009B3132" w:rsidRDefault="00354611" w:rsidP="007B777B">
      <w:pPr>
        <w:ind w:left="567" w:hanging="567"/>
        <w:rPr>
          <w:rFonts w:asciiTheme="minorHAnsi" w:hAnsiTheme="minorHAnsi"/>
          <w:sz w:val="22"/>
        </w:rPr>
      </w:pPr>
    </w:p>
    <w:p w:rsidR="00F81744" w:rsidRPr="0083537C" w:rsidRDefault="00F81744" w:rsidP="007B777B">
      <w:pPr>
        <w:rPr>
          <w:rFonts w:asciiTheme="minorHAnsi" w:hAnsiTheme="minorHAnsi"/>
          <w:sz w:val="22"/>
        </w:rPr>
      </w:pPr>
    </w:p>
    <w:p w:rsidR="00B51C22" w:rsidRPr="00310552" w:rsidRDefault="00F81744" w:rsidP="007B777B">
      <w:pPr>
        <w:rPr>
          <w:rFonts w:asciiTheme="minorHAnsi" w:hAnsiTheme="minorHAnsi"/>
          <w:b/>
          <w:sz w:val="26"/>
          <w:szCs w:val="26"/>
        </w:rPr>
      </w:pPr>
      <w:r w:rsidRPr="00310552">
        <w:rPr>
          <w:rFonts w:asciiTheme="minorHAnsi" w:hAnsiTheme="minorHAnsi"/>
          <w:b/>
          <w:sz w:val="26"/>
          <w:szCs w:val="26"/>
        </w:rPr>
        <w:t>II.</w:t>
      </w:r>
      <w:r w:rsidRPr="00310552">
        <w:rPr>
          <w:rFonts w:asciiTheme="minorHAnsi" w:hAnsiTheme="minorHAnsi"/>
          <w:b/>
          <w:sz w:val="26"/>
          <w:szCs w:val="26"/>
        </w:rPr>
        <w:tab/>
      </w:r>
      <w:r w:rsidR="00B51C22" w:rsidRPr="00310552">
        <w:rPr>
          <w:rFonts w:asciiTheme="minorHAnsi" w:hAnsiTheme="minorHAnsi"/>
          <w:b/>
          <w:sz w:val="26"/>
          <w:szCs w:val="26"/>
        </w:rPr>
        <w:t>Notwendige Weiterentwicklung der Patientenbeteiligung</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Damit die maßgeblichen Patientenorganisationen künftig noch wirkungsvoller ihre Rolle bei der patie</w:t>
      </w:r>
      <w:r w:rsidRPr="0083537C">
        <w:rPr>
          <w:rFonts w:asciiTheme="minorHAnsi" w:hAnsiTheme="minorHAnsi"/>
          <w:sz w:val="22"/>
        </w:rPr>
        <w:t>n</w:t>
      </w:r>
      <w:r w:rsidRPr="0083537C">
        <w:rPr>
          <w:rFonts w:asciiTheme="minorHAnsi" w:hAnsiTheme="minorHAnsi"/>
          <w:sz w:val="22"/>
        </w:rPr>
        <w:t>tenorientierten Weiterentwicklung des Gesundheitswesens spielen können, bedarf es folgender geset</w:t>
      </w:r>
      <w:r w:rsidRPr="0083537C">
        <w:rPr>
          <w:rFonts w:asciiTheme="minorHAnsi" w:hAnsiTheme="minorHAnsi"/>
          <w:sz w:val="22"/>
        </w:rPr>
        <w:t>z</w:t>
      </w:r>
      <w:r w:rsidRPr="0083537C">
        <w:rPr>
          <w:rFonts w:asciiTheme="minorHAnsi" w:hAnsiTheme="minorHAnsi"/>
          <w:sz w:val="22"/>
        </w:rPr>
        <w:t>geberischer Maßnahmen:</w:t>
      </w:r>
    </w:p>
    <w:p w:rsidR="00B51C22" w:rsidRDefault="00B51C22" w:rsidP="007B777B">
      <w:pPr>
        <w:rPr>
          <w:rFonts w:asciiTheme="minorHAnsi" w:hAnsiTheme="minorHAnsi"/>
          <w:sz w:val="22"/>
        </w:rPr>
      </w:pPr>
    </w:p>
    <w:p w:rsidR="007B777B" w:rsidRDefault="007B777B" w:rsidP="007B777B">
      <w:pPr>
        <w:rPr>
          <w:rFonts w:asciiTheme="minorHAnsi" w:hAnsiTheme="minorHAnsi"/>
          <w:sz w:val="22"/>
        </w:rPr>
      </w:pPr>
    </w:p>
    <w:p w:rsidR="00354611" w:rsidRPr="0083537C" w:rsidRDefault="00354611" w:rsidP="007B777B">
      <w:pPr>
        <w:rPr>
          <w:rFonts w:asciiTheme="minorHAnsi" w:hAnsiTheme="minorHAnsi"/>
          <w:b/>
          <w:sz w:val="22"/>
        </w:rPr>
      </w:pPr>
      <w:r>
        <w:rPr>
          <w:rFonts w:asciiTheme="minorHAnsi" w:hAnsiTheme="minorHAnsi"/>
          <w:b/>
          <w:sz w:val="22"/>
        </w:rPr>
        <w:lastRenderedPageBreak/>
        <w:t>1</w:t>
      </w:r>
      <w:r w:rsidRPr="0083537C">
        <w:rPr>
          <w:rFonts w:asciiTheme="minorHAnsi" w:hAnsiTheme="minorHAnsi"/>
          <w:b/>
          <w:sz w:val="22"/>
        </w:rPr>
        <w:t>.</w:t>
      </w:r>
      <w:r w:rsidRPr="0083537C">
        <w:rPr>
          <w:rFonts w:asciiTheme="minorHAnsi" w:hAnsiTheme="minorHAnsi"/>
          <w:b/>
          <w:sz w:val="22"/>
        </w:rPr>
        <w:tab/>
        <w:t>Notwendige ergänzende Beteiligung beim Qualitätsinstitut nach § 137a SGB V</w:t>
      </w:r>
    </w:p>
    <w:p w:rsidR="00354611" w:rsidRPr="0083537C" w:rsidRDefault="00354611" w:rsidP="007B777B">
      <w:pPr>
        <w:rPr>
          <w:rFonts w:asciiTheme="minorHAnsi" w:hAnsiTheme="minorHAnsi"/>
          <w:sz w:val="22"/>
        </w:rPr>
      </w:pPr>
    </w:p>
    <w:p w:rsidR="00354611" w:rsidRDefault="00354611" w:rsidP="007B777B">
      <w:pPr>
        <w:rPr>
          <w:rFonts w:asciiTheme="minorHAnsi" w:hAnsiTheme="minorHAnsi"/>
          <w:sz w:val="22"/>
        </w:rPr>
      </w:pPr>
      <w:r w:rsidRPr="0083537C">
        <w:rPr>
          <w:rFonts w:asciiTheme="minorHAnsi" w:hAnsiTheme="minorHAnsi"/>
          <w:sz w:val="22"/>
        </w:rPr>
        <w:t>Die Steuerung der Qualitätssicherung durch den GBA und das Institut nach § 137a SGB V sind im Zusa</w:t>
      </w:r>
      <w:r w:rsidRPr="0083537C">
        <w:rPr>
          <w:rFonts w:asciiTheme="minorHAnsi" w:hAnsiTheme="minorHAnsi"/>
          <w:sz w:val="22"/>
        </w:rPr>
        <w:t>m</w:t>
      </w:r>
      <w:r w:rsidRPr="0083537C">
        <w:rPr>
          <w:rFonts w:asciiTheme="minorHAnsi" w:hAnsiTheme="minorHAnsi"/>
          <w:sz w:val="22"/>
        </w:rPr>
        <w:t xml:space="preserve">menhang zu sehen. </w:t>
      </w:r>
    </w:p>
    <w:p w:rsidR="00354611" w:rsidRDefault="00354611" w:rsidP="007B777B">
      <w:pPr>
        <w:rPr>
          <w:rFonts w:asciiTheme="minorHAnsi" w:hAnsiTheme="minorHAnsi"/>
          <w:sz w:val="22"/>
        </w:rPr>
      </w:pPr>
    </w:p>
    <w:p w:rsidR="00354611" w:rsidRDefault="00354611" w:rsidP="007B777B">
      <w:pPr>
        <w:rPr>
          <w:rFonts w:ascii="Calibri" w:eastAsia="Calibri" w:hAnsi="Calibri" w:cs="Calibri"/>
          <w:sz w:val="22"/>
        </w:rPr>
      </w:pPr>
      <w:r>
        <w:rPr>
          <w:rFonts w:ascii="Calibri" w:eastAsia="Calibri" w:hAnsi="Calibri" w:cs="Calibri"/>
          <w:sz w:val="22"/>
        </w:rPr>
        <w:t xml:space="preserve">Je mehr in den vergangenen Jahren die gesundheitspolitischen Weichen in Richtung Marktorientierung gestellt wurden, desto mehr wurden QS- Maßnahmen gesetzlich verpflichtend. Dennoch gelang hierdurch eine qualitätsorientierte Steuerung des Leistungsangebots oder der Inanspruchnahme von Leistungen bisher nur sehr rudimentär.  Folgerichtig wurde mit dem Krankenhausstrukturgesetz (KHSG) eine neue „Qualitätsoffensive“ eingeläutet: Schlechte </w:t>
      </w:r>
      <w:r w:rsidR="003347A7">
        <w:rPr>
          <w:rFonts w:ascii="Calibri" w:eastAsia="Calibri" w:hAnsi="Calibri" w:cs="Calibri"/>
          <w:sz w:val="22"/>
        </w:rPr>
        <w:t>Qualität</w:t>
      </w:r>
      <w:r>
        <w:rPr>
          <w:rFonts w:ascii="Calibri" w:eastAsia="Calibri" w:hAnsi="Calibri" w:cs="Calibri"/>
          <w:sz w:val="22"/>
        </w:rPr>
        <w:t xml:space="preserve"> soll Konsequenzen für die Marktteilnahme haben, Qualitätssicherung soll von einem reinen professionszentrierten Instrument auch zu einem Instrument der Versorgungssteuerung werden.</w:t>
      </w:r>
    </w:p>
    <w:p w:rsidR="00354611" w:rsidRDefault="00354611" w:rsidP="007B777B">
      <w:pPr>
        <w:rPr>
          <w:rFonts w:ascii="Calibri" w:eastAsia="Calibri" w:hAnsi="Calibri" w:cs="Calibri"/>
          <w:sz w:val="22"/>
        </w:rPr>
      </w:pPr>
    </w:p>
    <w:p w:rsidR="00354611" w:rsidRDefault="00354611" w:rsidP="007B777B">
      <w:pPr>
        <w:rPr>
          <w:rFonts w:ascii="Calibri" w:eastAsia="Calibri" w:hAnsi="Calibri" w:cs="Calibri"/>
          <w:sz w:val="22"/>
        </w:rPr>
      </w:pPr>
      <w:r>
        <w:rPr>
          <w:rFonts w:ascii="Calibri" w:eastAsia="Calibri" w:hAnsi="Calibri" w:cs="Calibri"/>
          <w:sz w:val="22"/>
        </w:rPr>
        <w:t>Vor diesem Hintergrund hält die Patientenvertretung es aus ordnungspolitischen Gründen für  zune</w:t>
      </w:r>
      <w:r>
        <w:rPr>
          <w:rFonts w:ascii="Calibri" w:eastAsia="Calibri" w:hAnsi="Calibri" w:cs="Calibri"/>
          <w:sz w:val="22"/>
        </w:rPr>
        <w:t>h</w:t>
      </w:r>
      <w:r>
        <w:rPr>
          <w:rFonts w:ascii="Calibri" w:eastAsia="Calibri" w:hAnsi="Calibri" w:cs="Calibri"/>
          <w:sz w:val="22"/>
        </w:rPr>
        <w:t>mend problematisch,  dass die Trägerorganisationen des GBA in ihrer Funktion der politischen Intere</w:t>
      </w:r>
      <w:r>
        <w:rPr>
          <w:rFonts w:ascii="Calibri" w:eastAsia="Calibri" w:hAnsi="Calibri" w:cs="Calibri"/>
          <w:sz w:val="22"/>
        </w:rPr>
        <w:t>s</w:t>
      </w:r>
      <w:r>
        <w:rPr>
          <w:rFonts w:ascii="Calibri" w:eastAsia="Calibri" w:hAnsi="Calibri" w:cs="Calibri"/>
          <w:sz w:val="22"/>
        </w:rPr>
        <w:t>senvertretung  von Marktteilnehmern  gleichzeitig Stiftungsrat und Vorstand des QS-Instituts bilden, we</w:t>
      </w:r>
      <w:r>
        <w:rPr>
          <w:rFonts w:ascii="Calibri" w:eastAsia="Calibri" w:hAnsi="Calibri" w:cs="Calibri"/>
          <w:sz w:val="22"/>
        </w:rPr>
        <w:t>l</w:t>
      </w:r>
      <w:r>
        <w:rPr>
          <w:rFonts w:ascii="Calibri" w:eastAsia="Calibri" w:hAnsi="Calibri" w:cs="Calibri"/>
          <w:sz w:val="22"/>
        </w:rPr>
        <w:t>ches diese Marktteilnehmer kontrollieren soll. Nicht nur mit Blick auf die schleppend umgesetzte sekt</w:t>
      </w:r>
      <w:r w:rsidR="003347A7">
        <w:rPr>
          <w:rFonts w:ascii="Calibri" w:eastAsia="Calibri" w:hAnsi="Calibri" w:cs="Calibri"/>
          <w:sz w:val="22"/>
        </w:rPr>
        <w:t>o</w:t>
      </w:r>
      <w:r>
        <w:rPr>
          <w:rFonts w:ascii="Calibri" w:eastAsia="Calibri" w:hAnsi="Calibri" w:cs="Calibri"/>
          <w:sz w:val="22"/>
        </w:rPr>
        <w:t>rübergreifende Qualitätssicherung, sondern auch in Hinsicht auf Art, Inhalt und Dauer der Auftragsverg</w:t>
      </w:r>
      <w:r>
        <w:rPr>
          <w:rFonts w:ascii="Calibri" w:eastAsia="Calibri" w:hAnsi="Calibri" w:cs="Calibri"/>
          <w:sz w:val="22"/>
        </w:rPr>
        <w:t>a</w:t>
      </w:r>
      <w:r>
        <w:rPr>
          <w:rFonts w:ascii="Calibri" w:eastAsia="Calibri" w:hAnsi="Calibri" w:cs="Calibri"/>
          <w:sz w:val="22"/>
        </w:rPr>
        <w:t>ben  an das IQTiG sowie der Ressourcengenehmigung für seine Aufträge durch dessen derzeitiges Steu</w:t>
      </w:r>
      <w:r>
        <w:rPr>
          <w:rFonts w:ascii="Calibri" w:eastAsia="Calibri" w:hAnsi="Calibri" w:cs="Calibri"/>
          <w:sz w:val="22"/>
        </w:rPr>
        <w:t>e</w:t>
      </w:r>
      <w:r>
        <w:rPr>
          <w:rFonts w:ascii="Calibri" w:eastAsia="Calibri" w:hAnsi="Calibri" w:cs="Calibri"/>
          <w:sz w:val="22"/>
        </w:rPr>
        <w:t>rungsgremium  haben in den vergangenen Jahren gezeigt, dass es hier wirkungsvollerer Impulse bedarf, um „Qualitätsorientierung im Gesundheitswesen grundsätzlich neu aufzurollen“ und „die Perspektiven der Patienten als Ausgangspunkt für die Qualitätsorientierung zu nehme</w:t>
      </w:r>
      <w:r w:rsidR="007B777B">
        <w:rPr>
          <w:rFonts w:ascii="Calibri" w:eastAsia="Calibri" w:hAnsi="Calibri" w:cs="Calibri"/>
          <w:sz w:val="22"/>
        </w:rPr>
        <w:t>n.“ (Dr. Christoph Veit 2015).</w:t>
      </w:r>
    </w:p>
    <w:p w:rsidR="007B777B" w:rsidRDefault="007B777B" w:rsidP="007B777B">
      <w:pPr>
        <w:rPr>
          <w:rFonts w:ascii="Calibri" w:eastAsia="Calibri" w:hAnsi="Calibri" w:cs="Calibri"/>
          <w:sz w:val="22"/>
        </w:rPr>
      </w:pPr>
    </w:p>
    <w:p w:rsidR="00354611" w:rsidRDefault="00354611" w:rsidP="007B777B">
      <w:pPr>
        <w:rPr>
          <w:rFonts w:ascii="Calibri" w:eastAsia="Calibri" w:hAnsi="Calibri" w:cs="Calibri"/>
          <w:sz w:val="22"/>
        </w:rPr>
      </w:pPr>
      <w:r>
        <w:rPr>
          <w:rFonts w:ascii="Calibri" w:eastAsia="Calibri" w:hAnsi="Calibri" w:cs="Calibri"/>
          <w:sz w:val="22"/>
        </w:rPr>
        <w:t>Ordnungspolitisch wäre es sinnvoll, das IQTiG tatsächlich gänzlich unabhängig von den Trägerorganisati</w:t>
      </w:r>
      <w:r>
        <w:rPr>
          <w:rFonts w:ascii="Calibri" w:eastAsia="Calibri" w:hAnsi="Calibri" w:cs="Calibri"/>
          <w:sz w:val="22"/>
        </w:rPr>
        <w:t>o</w:t>
      </w:r>
      <w:r>
        <w:rPr>
          <w:rFonts w:ascii="Calibri" w:eastAsia="Calibri" w:hAnsi="Calibri" w:cs="Calibri"/>
          <w:sz w:val="22"/>
        </w:rPr>
        <w:t>nen des GBA neu zu installieren.</w:t>
      </w:r>
    </w:p>
    <w:p w:rsidR="00354611" w:rsidRDefault="00354611" w:rsidP="007B777B">
      <w:pPr>
        <w:rPr>
          <w:rFonts w:ascii="Calibri" w:eastAsia="Calibri" w:hAnsi="Calibri" w:cs="Calibri"/>
          <w:sz w:val="22"/>
        </w:rPr>
      </w:pPr>
    </w:p>
    <w:p w:rsidR="00354611" w:rsidRDefault="00354611" w:rsidP="007B777B">
      <w:pPr>
        <w:rPr>
          <w:rFonts w:asciiTheme="minorHAnsi" w:hAnsiTheme="minorHAnsi"/>
          <w:sz w:val="22"/>
        </w:rPr>
      </w:pPr>
      <w:r>
        <w:rPr>
          <w:rFonts w:ascii="Calibri" w:eastAsia="Calibri" w:hAnsi="Calibri" w:cs="Calibri"/>
          <w:sz w:val="22"/>
        </w:rPr>
        <w:t>Die maßgeblichen Patientenorganisationen haben bereits 2014, zum Zeitpunkt der Institutsgründung, in § 137a SGB V folgende Ergänzungen  bzgl. der Stiftungskonstruktion des IQTiG gefordert.</w:t>
      </w:r>
      <w:r w:rsidR="00731AA9">
        <w:rPr>
          <w:rFonts w:ascii="Calibri" w:eastAsia="Calibri" w:hAnsi="Calibri" w:cs="Calibri"/>
          <w:sz w:val="22"/>
        </w:rPr>
        <w:t xml:space="preserve"> Bis zur Schaffung eines neuen, wirklich unabhängigen Qualitätsinstituts muss zumindest sichergestellt werden, dass die Patientenbeteiligung beim IQTiG verstärkt wird. </w:t>
      </w:r>
    </w:p>
    <w:p w:rsidR="00354611" w:rsidRDefault="00354611" w:rsidP="007B777B">
      <w:pPr>
        <w:rPr>
          <w:rFonts w:asciiTheme="minorHAnsi" w:hAnsiTheme="minorHAnsi"/>
          <w:sz w:val="22"/>
        </w:rPr>
      </w:pPr>
    </w:p>
    <w:p w:rsidR="00354611" w:rsidRDefault="00354611" w:rsidP="007B777B">
      <w:pPr>
        <w:rPr>
          <w:rFonts w:asciiTheme="minorHAnsi" w:hAnsiTheme="minorHAnsi"/>
          <w:sz w:val="22"/>
        </w:rPr>
      </w:pPr>
      <w:r w:rsidRPr="0083537C">
        <w:rPr>
          <w:rFonts w:asciiTheme="minorHAnsi" w:hAnsiTheme="minorHAnsi"/>
          <w:sz w:val="22"/>
        </w:rPr>
        <w:t>Insbesondere mit Blick auf die sektorübergreifende Qualitätssicherung haben die letz</w:t>
      </w:r>
      <w:r w:rsidR="00731AA9">
        <w:rPr>
          <w:rFonts w:asciiTheme="minorHAnsi" w:hAnsiTheme="minorHAnsi"/>
          <w:sz w:val="22"/>
        </w:rPr>
        <w:t xml:space="preserve">ten Jahre gezeigt, dass es </w:t>
      </w:r>
      <w:r w:rsidRPr="0083537C">
        <w:rPr>
          <w:rFonts w:asciiTheme="minorHAnsi" w:hAnsiTheme="minorHAnsi"/>
          <w:sz w:val="22"/>
        </w:rPr>
        <w:t>wirkungsvoller</w:t>
      </w:r>
      <w:r w:rsidR="00731AA9">
        <w:rPr>
          <w:rFonts w:asciiTheme="minorHAnsi" w:hAnsiTheme="minorHAnsi"/>
          <w:sz w:val="22"/>
        </w:rPr>
        <w:t>er</w:t>
      </w:r>
      <w:r w:rsidRPr="0083537C">
        <w:rPr>
          <w:rFonts w:asciiTheme="minorHAnsi" w:hAnsiTheme="minorHAnsi"/>
          <w:sz w:val="22"/>
        </w:rPr>
        <w:t xml:space="preserve"> Impulse bedarf, um Qualitätssicherung im Interesse der </w:t>
      </w:r>
      <w:r w:rsidR="00CB6843">
        <w:rPr>
          <w:rFonts w:asciiTheme="minorHAnsi" w:hAnsiTheme="minorHAnsi"/>
          <w:sz w:val="22"/>
        </w:rPr>
        <w:t>Patientinnen und Pat</w:t>
      </w:r>
      <w:r w:rsidR="00CB6843">
        <w:rPr>
          <w:rFonts w:asciiTheme="minorHAnsi" w:hAnsiTheme="minorHAnsi"/>
          <w:sz w:val="22"/>
        </w:rPr>
        <w:t>i</w:t>
      </w:r>
      <w:r w:rsidR="00CB6843">
        <w:rPr>
          <w:rFonts w:asciiTheme="minorHAnsi" w:hAnsiTheme="minorHAnsi"/>
          <w:sz w:val="22"/>
        </w:rPr>
        <w:t>enten</w:t>
      </w:r>
      <w:r w:rsidRPr="0083537C">
        <w:rPr>
          <w:rFonts w:asciiTheme="minorHAnsi" w:hAnsiTheme="minorHAnsi"/>
          <w:sz w:val="22"/>
        </w:rPr>
        <w:t xml:space="preserve"> zu erreichen.</w:t>
      </w:r>
    </w:p>
    <w:p w:rsidR="00731AA9" w:rsidRPr="0083537C" w:rsidRDefault="00731AA9" w:rsidP="007B777B">
      <w:pPr>
        <w:rPr>
          <w:rFonts w:asciiTheme="minorHAnsi" w:hAnsiTheme="minorHAnsi"/>
          <w:sz w:val="22"/>
        </w:rPr>
      </w:pPr>
    </w:p>
    <w:p w:rsidR="00354611" w:rsidRPr="0083537C" w:rsidRDefault="00354611" w:rsidP="007B777B">
      <w:pPr>
        <w:rPr>
          <w:rFonts w:asciiTheme="minorHAnsi" w:hAnsiTheme="minorHAnsi"/>
          <w:sz w:val="22"/>
        </w:rPr>
      </w:pPr>
      <w:r w:rsidRPr="0083537C">
        <w:rPr>
          <w:rFonts w:asciiTheme="minorHAnsi" w:hAnsiTheme="minorHAnsi"/>
          <w:sz w:val="22"/>
        </w:rPr>
        <w:t>Daher fordern die maßgeblichen Patientenorganisationen in § 137a SGB V folgende Ergänzungen:</w:t>
      </w:r>
    </w:p>
    <w:p w:rsidR="00354611" w:rsidRPr="0083537C" w:rsidRDefault="00354611" w:rsidP="007B777B">
      <w:pPr>
        <w:rPr>
          <w:rFonts w:asciiTheme="minorHAnsi" w:hAnsiTheme="minorHAnsi"/>
          <w:sz w:val="22"/>
        </w:rPr>
      </w:pPr>
    </w:p>
    <w:p w:rsidR="00354611" w:rsidRPr="0083537C" w:rsidRDefault="00354611" w:rsidP="007B777B">
      <w:pPr>
        <w:pStyle w:val="Listenabsatz"/>
        <w:numPr>
          <w:ilvl w:val="0"/>
          <w:numId w:val="2"/>
        </w:numPr>
        <w:ind w:left="567" w:hanging="567"/>
        <w:contextualSpacing w:val="0"/>
        <w:rPr>
          <w:rFonts w:asciiTheme="minorHAnsi" w:hAnsiTheme="minorHAnsi"/>
          <w:sz w:val="22"/>
        </w:rPr>
      </w:pPr>
      <w:r w:rsidRPr="0083537C">
        <w:rPr>
          <w:rFonts w:asciiTheme="minorHAnsi" w:hAnsiTheme="minorHAnsi"/>
          <w:sz w:val="22"/>
        </w:rPr>
        <w:t>Die Patientenvertretung muss mit Sitz und Stimmrecht bereits bei der Gründung des Instituts bete</w:t>
      </w:r>
      <w:r w:rsidRPr="0083537C">
        <w:rPr>
          <w:rFonts w:asciiTheme="minorHAnsi" w:hAnsiTheme="minorHAnsi"/>
          <w:sz w:val="22"/>
        </w:rPr>
        <w:t>i</w:t>
      </w:r>
      <w:r w:rsidRPr="0083537C">
        <w:rPr>
          <w:rFonts w:asciiTheme="minorHAnsi" w:hAnsiTheme="minorHAnsi"/>
          <w:sz w:val="22"/>
        </w:rPr>
        <w:t>ligt sein.</w:t>
      </w:r>
      <w:r w:rsidRPr="0083537C">
        <w:rPr>
          <w:rFonts w:asciiTheme="minorHAnsi" w:hAnsiTheme="minorHAnsi"/>
          <w:sz w:val="22"/>
        </w:rPr>
        <w:br/>
      </w:r>
    </w:p>
    <w:p w:rsidR="00354611" w:rsidRPr="0083537C" w:rsidRDefault="00354611" w:rsidP="007B777B">
      <w:pPr>
        <w:pStyle w:val="Listenabsatz"/>
        <w:numPr>
          <w:ilvl w:val="0"/>
          <w:numId w:val="2"/>
        </w:numPr>
        <w:ind w:left="567" w:hanging="567"/>
        <w:contextualSpacing w:val="0"/>
        <w:rPr>
          <w:rFonts w:asciiTheme="minorHAnsi" w:hAnsiTheme="minorHAnsi"/>
          <w:sz w:val="22"/>
        </w:rPr>
      </w:pPr>
      <w:r w:rsidRPr="0083537C">
        <w:rPr>
          <w:rFonts w:asciiTheme="minorHAnsi" w:hAnsiTheme="minorHAnsi"/>
          <w:sz w:val="22"/>
        </w:rPr>
        <w:t>In der Stiftungssatzung sind unverzichtbar:</w:t>
      </w:r>
    </w:p>
    <w:p w:rsidR="00354611" w:rsidRPr="0083537C" w:rsidRDefault="00354611" w:rsidP="007B777B">
      <w:pPr>
        <w:ind w:left="567"/>
        <w:rPr>
          <w:rFonts w:asciiTheme="minorHAnsi" w:hAnsiTheme="minorHAnsi"/>
          <w:sz w:val="22"/>
        </w:rPr>
      </w:pPr>
      <w:r w:rsidRPr="0083537C">
        <w:rPr>
          <w:rFonts w:asciiTheme="minorHAnsi" w:hAnsiTheme="minorHAnsi"/>
          <w:sz w:val="22"/>
        </w:rPr>
        <w:t xml:space="preserve">- Ausrichtung der Arbeit an Patientennutzen und Versorgungsrealität </w:t>
      </w:r>
    </w:p>
    <w:p w:rsidR="00354611" w:rsidRPr="0083537C" w:rsidRDefault="00354611" w:rsidP="007B777B">
      <w:pPr>
        <w:ind w:firstLine="567"/>
        <w:rPr>
          <w:rFonts w:asciiTheme="minorHAnsi" w:hAnsiTheme="minorHAnsi"/>
          <w:sz w:val="22"/>
        </w:rPr>
      </w:pPr>
      <w:r w:rsidRPr="0083537C">
        <w:rPr>
          <w:rFonts w:asciiTheme="minorHAnsi" w:hAnsiTheme="minorHAnsi"/>
          <w:sz w:val="22"/>
        </w:rPr>
        <w:t xml:space="preserve">- Sitz und Stimme der Patientenvertretung in den Stiftungsgremien </w:t>
      </w:r>
      <w:r w:rsidRPr="0083537C">
        <w:rPr>
          <w:rFonts w:asciiTheme="minorHAnsi" w:hAnsiTheme="minorHAnsi"/>
          <w:sz w:val="22"/>
        </w:rPr>
        <w:br/>
      </w:r>
    </w:p>
    <w:p w:rsidR="00354611" w:rsidRPr="0083537C" w:rsidRDefault="00354611" w:rsidP="007B777B">
      <w:pPr>
        <w:pStyle w:val="Listenabsatz"/>
        <w:numPr>
          <w:ilvl w:val="0"/>
          <w:numId w:val="3"/>
        </w:numPr>
        <w:ind w:left="567" w:hanging="567"/>
        <w:contextualSpacing w:val="0"/>
        <w:rPr>
          <w:rFonts w:asciiTheme="minorHAnsi" w:hAnsiTheme="minorHAnsi"/>
          <w:sz w:val="22"/>
        </w:rPr>
      </w:pPr>
      <w:r w:rsidRPr="0083537C">
        <w:rPr>
          <w:rFonts w:asciiTheme="minorHAnsi" w:hAnsiTheme="minorHAnsi"/>
          <w:sz w:val="22"/>
        </w:rPr>
        <w:t>Die Unabhängigkeit des Instituts ist zu gewährleisten. Das beinhaltet neben der Freiheit der Th</w:t>
      </w:r>
      <w:r w:rsidRPr="0083537C">
        <w:rPr>
          <w:rFonts w:asciiTheme="minorHAnsi" w:hAnsiTheme="minorHAnsi"/>
          <w:sz w:val="22"/>
        </w:rPr>
        <w:t>e</w:t>
      </w:r>
      <w:r w:rsidRPr="0083537C">
        <w:rPr>
          <w:rFonts w:asciiTheme="minorHAnsi" w:hAnsiTheme="minorHAnsi"/>
          <w:sz w:val="22"/>
        </w:rPr>
        <w:t>menwahl auch das Recht zur Veröffentlichung aller Ergebnisse.</w:t>
      </w:r>
      <w:r w:rsidRPr="0083537C">
        <w:rPr>
          <w:rFonts w:asciiTheme="minorHAnsi" w:hAnsiTheme="minorHAnsi"/>
          <w:sz w:val="22"/>
        </w:rPr>
        <w:br/>
      </w:r>
    </w:p>
    <w:p w:rsidR="00354611" w:rsidRPr="0083537C" w:rsidRDefault="00354611" w:rsidP="007B777B">
      <w:pPr>
        <w:pStyle w:val="Listenabsatz"/>
        <w:numPr>
          <w:ilvl w:val="0"/>
          <w:numId w:val="3"/>
        </w:numPr>
        <w:ind w:left="567" w:hanging="567"/>
        <w:contextualSpacing w:val="0"/>
        <w:rPr>
          <w:rFonts w:asciiTheme="minorHAnsi" w:hAnsiTheme="minorHAnsi"/>
          <w:sz w:val="22"/>
        </w:rPr>
      </w:pPr>
      <w:r w:rsidRPr="0083537C">
        <w:rPr>
          <w:rFonts w:asciiTheme="minorHAnsi" w:hAnsiTheme="minorHAnsi"/>
          <w:sz w:val="22"/>
        </w:rPr>
        <w:t>Die Patientenvertretung muss eigenständig Aufträge an das Institut vergeben können.</w:t>
      </w:r>
      <w:r w:rsidRPr="0083537C">
        <w:rPr>
          <w:rFonts w:asciiTheme="minorHAnsi" w:hAnsiTheme="minorHAnsi"/>
          <w:sz w:val="22"/>
        </w:rPr>
        <w:br/>
      </w:r>
    </w:p>
    <w:p w:rsidR="00354611" w:rsidRPr="0083537C" w:rsidRDefault="00354611" w:rsidP="007B777B">
      <w:pPr>
        <w:pStyle w:val="Listenabsatz"/>
        <w:numPr>
          <w:ilvl w:val="0"/>
          <w:numId w:val="3"/>
        </w:numPr>
        <w:ind w:left="567" w:hanging="567"/>
        <w:contextualSpacing w:val="0"/>
        <w:rPr>
          <w:rFonts w:asciiTheme="minorHAnsi" w:hAnsiTheme="minorHAnsi"/>
          <w:sz w:val="22"/>
        </w:rPr>
      </w:pPr>
      <w:r w:rsidRPr="0083537C">
        <w:rPr>
          <w:rFonts w:asciiTheme="minorHAnsi" w:hAnsiTheme="minorHAnsi"/>
          <w:sz w:val="22"/>
        </w:rPr>
        <w:lastRenderedPageBreak/>
        <w:t>Das neu zu gründende Institut ist für die Qualitätssicherung im Gesundheits- wesen zuständig. Dies umfasst auch die Qualitätssicherung der Schnittstellen zu anderen Regelungsbereichen, etwa der Pflege oder der Rehabilitation; perspektivisch sollten auch diese Bereiche Eingang in den Reg</w:t>
      </w:r>
      <w:r w:rsidRPr="0083537C">
        <w:rPr>
          <w:rFonts w:asciiTheme="minorHAnsi" w:hAnsiTheme="minorHAnsi"/>
          <w:sz w:val="22"/>
        </w:rPr>
        <w:t>e</w:t>
      </w:r>
      <w:r w:rsidRPr="0083537C">
        <w:rPr>
          <w:rFonts w:asciiTheme="minorHAnsi" w:hAnsiTheme="minorHAnsi"/>
          <w:sz w:val="22"/>
        </w:rPr>
        <w:t>lungsbereich des Instituts finden.</w:t>
      </w:r>
    </w:p>
    <w:p w:rsidR="00354611" w:rsidRPr="0083537C" w:rsidRDefault="00354611" w:rsidP="007B777B">
      <w:pPr>
        <w:rPr>
          <w:rFonts w:asciiTheme="minorHAnsi" w:hAnsiTheme="minorHAnsi"/>
          <w:sz w:val="22"/>
        </w:rPr>
      </w:pPr>
    </w:p>
    <w:p w:rsidR="00354611" w:rsidRPr="0083537C" w:rsidRDefault="00354611" w:rsidP="007B777B">
      <w:pPr>
        <w:rPr>
          <w:rFonts w:asciiTheme="minorHAnsi" w:hAnsiTheme="minorHAnsi"/>
          <w:sz w:val="22"/>
        </w:rPr>
      </w:pPr>
    </w:p>
    <w:p w:rsidR="00B51C22" w:rsidRPr="0083537C" w:rsidRDefault="00731AA9" w:rsidP="007B777B">
      <w:pPr>
        <w:tabs>
          <w:tab w:val="left" w:pos="567"/>
        </w:tabs>
        <w:ind w:left="567" w:hanging="567"/>
        <w:rPr>
          <w:rFonts w:asciiTheme="minorHAnsi" w:hAnsiTheme="minorHAnsi"/>
          <w:b/>
          <w:sz w:val="22"/>
        </w:rPr>
      </w:pPr>
      <w:r>
        <w:rPr>
          <w:rFonts w:asciiTheme="minorHAnsi" w:hAnsiTheme="minorHAnsi"/>
          <w:b/>
          <w:sz w:val="22"/>
        </w:rPr>
        <w:t>2</w:t>
      </w:r>
      <w:r w:rsidR="00B51C22" w:rsidRPr="0083537C">
        <w:rPr>
          <w:rFonts w:asciiTheme="minorHAnsi" w:hAnsiTheme="minorHAnsi"/>
          <w:b/>
          <w:sz w:val="22"/>
        </w:rPr>
        <w:t>.</w:t>
      </w:r>
      <w:r w:rsidR="00B51C22" w:rsidRPr="0083537C">
        <w:rPr>
          <w:rFonts w:asciiTheme="minorHAnsi" w:hAnsiTheme="minorHAnsi"/>
          <w:b/>
          <w:sz w:val="22"/>
        </w:rPr>
        <w:tab/>
        <w:t>Notwendige ergänzende Beteiligung beim erweiterten Bewertungsausschuss und beim Bewe</w:t>
      </w:r>
      <w:r w:rsidR="00B51C22" w:rsidRPr="0083537C">
        <w:rPr>
          <w:rFonts w:asciiTheme="minorHAnsi" w:hAnsiTheme="minorHAnsi"/>
          <w:b/>
          <w:sz w:val="22"/>
        </w:rPr>
        <w:t>r</w:t>
      </w:r>
      <w:r w:rsidR="00B51C22" w:rsidRPr="0083537C">
        <w:rPr>
          <w:rFonts w:asciiTheme="minorHAnsi" w:hAnsiTheme="minorHAnsi"/>
          <w:b/>
          <w:sz w:val="22"/>
        </w:rPr>
        <w:t>tungsausschuss</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Während sich die Patientenbeteiligung beim Gemeinsamen Bundesausschuss als Motor für die zielorie</w:t>
      </w:r>
      <w:r w:rsidRPr="0083537C">
        <w:rPr>
          <w:rFonts w:asciiTheme="minorHAnsi" w:hAnsiTheme="minorHAnsi"/>
          <w:sz w:val="22"/>
        </w:rPr>
        <w:t>n</w:t>
      </w:r>
      <w:r w:rsidRPr="0083537C">
        <w:rPr>
          <w:rFonts w:asciiTheme="minorHAnsi" w:hAnsiTheme="minorHAnsi"/>
          <w:sz w:val="22"/>
        </w:rPr>
        <w:t xml:space="preserve">tierte Bearbeitung von Prüfanträgen erwiesen hat, </w:t>
      </w:r>
      <w:r w:rsidR="00544986">
        <w:rPr>
          <w:rFonts w:asciiTheme="minorHAnsi" w:hAnsiTheme="minorHAnsi"/>
          <w:sz w:val="22"/>
        </w:rPr>
        <w:t>wirkte</w:t>
      </w:r>
      <w:r w:rsidRPr="0083537C">
        <w:rPr>
          <w:rFonts w:asciiTheme="minorHAnsi" w:hAnsiTheme="minorHAnsi"/>
          <w:sz w:val="22"/>
        </w:rPr>
        <w:t xml:space="preserve"> die gemeinsame Selbstverwaltung beim Bewe</w:t>
      </w:r>
      <w:r w:rsidRPr="0083537C">
        <w:rPr>
          <w:rFonts w:asciiTheme="minorHAnsi" w:hAnsiTheme="minorHAnsi"/>
          <w:sz w:val="22"/>
        </w:rPr>
        <w:t>r</w:t>
      </w:r>
      <w:r w:rsidRPr="0083537C">
        <w:rPr>
          <w:rFonts w:asciiTheme="minorHAnsi" w:hAnsiTheme="minorHAnsi"/>
          <w:sz w:val="22"/>
        </w:rPr>
        <w:t>tungsausschuss in vielen Fällen eher als Hemmschuh bei der Umsetzung von GBA-Beschlüssen. Sei e</w:t>
      </w:r>
      <w:r w:rsidR="0083537C" w:rsidRPr="0083537C">
        <w:rPr>
          <w:rFonts w:asciiTheme="minorHAnsi" w:hAnsiTheme="minorHAnsi"/>
          <w:sz w:val="22"/>
        </w:rPr>
        <w:t>s die Einführung des Hautkrebs-</w:t>
      </w:r>
      <w:r w:rsidRPr="0083537C">
        <w:rPr>
          <w:rFonts w:asciiTheme="minorHAnsi" w:hAnsiTheme="minorHAnsi"/>
          <w:sz w:val="22"/>
        </w:rPr>
        <w:t>Screenings, die Verabschiedung einer Gebührenziffer zur Abrechnung von I</w:t>
      </w:r>
      <w:r w:rsidRPr="0083537C">
        <w:rPr>
          <w:rFonts w:asciiTheme="minorHAnsi" w:hAnsiTheme="minorHAnsi"/>
          <w:sz w:val="22"/>
        </w:rPr>
        <w:t>n</w:t>
      </w:r>
      <w:r w:rsidRPr="0083537C">
        <w:rPr>
          <w:rFonts w:asciiTheme="minorHAnsi" w:hAnsiTheme="minorHAnsi"/>
          <w:sz w:val="22"/>
        </w:rPr>
        <w:t>jektionen im Auge oder sei es die Umsetzung der GBA-Beschlüsse zur Knochendichtemessung: Verg</w:t>
      </w:r>
      <w:r w:rsidRPr="0083537C">
        <w:rPr>
          <w:rFonts w:asciiTheme="minorHAnsi" w:hAnsiTheme="minorHAnsi"/>
          <w:sz w:val="22"/>
        </w:rPr>
        <w:t>ü</w:t>
      </w:r>
      <w:r w:rsidRPr="0083537C">
        <w:rPr>
          <w:rFonts w:asciiTheme="minorHAnsi" w:hAnsiTheme="minorHAnsi"/>
          <w:sz w:val="22"/>
        </w:rPr>
        <w:t>tungsstreitigkeiten verhindern in vielen Fällen eine qualitativ hochwertige Versorgung der Versicherten.</w:t>
      </w:r>
    </w:p>
    <w:p w:rsidR="00B51C22" w:rsidRPr="0083537C" w:rsidRDefault="00B51C22" w:rsidP="007B777B">
      <w:pPr>
        <w:rPr>
          <w:rFonts w:asciiTheme="minorHAnsi" w:hAnsiTheme="minorHAnsi"/>
          <w:sz w:val="22"/>
        </w:rPr>
      </w:pPr>
    </w:p>
    <w:p w:rsidR="00B51C22" w:rsidRDefault="00B51C22" w:rsidP="007B777B">
      <w:pPr>
        <w:rPr>
          <w:rFonts w:asciiTheme="minorHAnsi" w:hAnsiTheme="minorHAnsi"/>
          <w:sz w:val="22"/>
        </w:rPr>
      </w:pPr>
      <w:r w:rsidRPr="0083537C">
        <w:rPr>
          <w:rFonts w:asciiTheme="minorHAnsi" w:hAnsiTheme="minorHAnsi"/>
          <w:sz w:val="22"/>
        </w:rPr>
        <w:t>Allzu oft erweisen sich der Bewertungsausschuss und der erweiterte Bewertungsausschuss bislang als Black Box mit einem offenbar langsam mahlenden Räderwerk.</w:t>
      </w:r>
    </w:p>
    <w:p w:rsidR="00731AA9" w:rsidRPr="0083537C" w:rsidRDefault="00731AA9"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Andererseits liegt es den maßgeblichen Patientenorganisationen fern, Vergütungsfragen aller Art im Rahmen aufwändiger Aushandlungsprozesse der Selbstverwaltungspartner fortlaufend zu begleiten.</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 xml:space="preserve">Die maßgeblichen Patientenorganisationen fordern daher, </w:t>
      </w:r>
    </w:p>
    <w:p w:rsidR="00F81744" w:rsidRPr="0083537C" w:rsidRDefault="00F81744" w:rsidP="007B777B">
      <w:pPr>
        <w:rPr>
          <w:rFonts w:asciiTheme="minorHAnsi" w:hAnsiTheme="minorHAnsi"/>
          <w:sz w:val="22"/>
        </w:rPr>
      </w:pPr>
    </w:p>
    <w:p w:rsidR="00B51C22" w:rsidRPr="0083537C" w:rsidRDefault="00B51C22" w:rsidP="007B777B">
      <w:pPr>
        <w:pStyle w:val="Listenabsatz"/>
        <w:numPr>
          <w:ilvl w:val="0"/>
          <w:numId w:val="1"/>
        </w:numPr>
        <w:contextualSpacing w:val="0"/>
        <w:rPr>
          <w:rFonts w:asciiTheme="minorHAnsi" w:hAnsiTheme="minorHAnsi"/>
          <w:sz w:val="22"/>
        </w:rPr>
      </w:pPr>
      <w:r w:rsidRPr="0083537C">
        <w:rPr>
          <w:rFonts w:asciiTheme="minorHAnsi" w:hAnsiTheme="minorHAnsi"/>
          <w:sz w:val="22"/>
        </w:rPr>
        <w:t>dass ihnen alle Beratungsunterlagen von Bewertungsausschuss und erweitertem Bewertungsau</w:t>
      </w:r>
      <w:r w:rsidRPr="0083537C">
        <w:rPr>
          <w:rFonts w:asciiTheme="minorHAnsi" w:hAnsiTheme="minorHAnsi"/>
          <w:sz w:val="22"/>
        </w:rPr>
        <w:t>s</w:t>
      </w:r>
      <w:r w:rsidRPr="0083537C">
        <w:rPr>
          <w:rFonts w:asciiTheme="minorHAnsi" w:hAnsiTheme="minorHAnsi"/>
          <w:sz w:val="22"/>
        </w:rPr>
        <w:t xml:space="preserve">schuss zugänglich gemacht werden, </w:t>
      </w:r>
      <w:r w:rsidR="00F81744" w:rsidRPr="0083537C">
        <w:rPr>
          <w:rFonts w:asciiTheme="minorHAnsi" w:hAnsiTheme="minorHAnsi"/>
          <w:sz w:val="22"/>
        </w:rPr>
        <w:br/>
      </w:r>
    </w:p>
    <w:p w:rsidR="00B51C22" w:rsidRPr="0083537C" w:rsidRDefault="00B51C22" w:rsidP="007B777B">
      <w:pPr>
        <w:pStyle w:val="Listenabsatz"/>
        <w:numPr>
          <w:ilvl w:val="0"/>
          <w:numId w:val="1"/>
        </w:numPr>
        <w:contextualSpacing w:val="0"/>
        <w:rPr>
          <w:rFonts w:asciiTheme="minorHAnsi" w:hAnsiTheme="minorHAnsi"/>
          <w:sz w:val="22"/>
        </w:rPr>
      </w:pPr>
      <w:r w:rsidRPr="0083537C">
        <w:rPr>
          <w:rFonts w:asciiTheme="minorHAnsi" w:hAnsiTheme="minorHAnsi"/>
          <w:sz w:val="22"/>
        </w:rPr>
        <w:t>dass die maßgeblichen Patientenorganisationen das Recht erhalten, Beschlussanträge beim Bewe</w:t>
      </w:r>
      <w:r w:rsidRPr="0083537C">
        <w:rPr>
          <w:rFonts w:asciiTheme="minorHAnsi" w:hAnsiTheme="minorHAnsi"/>
          <w:sz w:val="22"/>
        </w:rPr>
        <w:t>r</w:t>
      </w:r>
      <w:r w:rsidRPr="0083537C">
        <w:rPr>
          <w:rFonts w:asciiTheme="minorHAnsi" w:hAnsiTheme="minorHAnsi"/>
          <w:sz w:val="22"/>
        </w:rPr>
        <w:t xml:space="preserve">tungsausschuss und beim erweiterten Bewertungsausschuss einzubringen und nach Antragstellung an den entsprechenden Verfahren mitberatend mitzuwirken </w:t>
      </w:r>
      <w:r w:rsidR="00F81744" w:rsidRPr="0083537C">
        <w:rPr>
          <w:rFonts w:asciiTheme="minorHAnsi" w:hAnsiTheme="minorHAnsi"/>
          <w:sz w:val="22"/>
        </w:rPr>
        <w:br/>
      </w:r>
    </w:p>
    <w:p w:rsidR="00B51C22" w:rsidRPr="0083537C" w:rsidRDefault="00B51C22" w:rsidP="007B777B">
      <w:pPr>
        <w:pStyle w:val="Listenabsatz"/>
        <w:numPr>
          <w:ilvl w:val="0"/>
          <w:numId w:val="1"/>
        </w:numPr>
        <w:contextualSpacing w:val="0"/>
        <w:rPr>
          <w:rFonts w:asciiTheme="minorHAnsi" w:hAnsiTheme="minorHAnsi"/>
          <w:sz w:val="22"/>
        </w:rPr>
      </w:pPr>
      <w:r w:rsidRPr="0083537C">
        <w:rPr>
          <w:rFonts w:asciiTheme="minorHAnsi" w:hAnsiTheme="minorHAnsi"/>
          <w:sz w:val="22"/>
        </w:rPr>
        <w:t>sowie auf Antrag an weiteren Beratungsverfahren mitzuwirken, wenn das Patienteninteresse an den Inhalten der zu erwartenden Beschlussfassung dargelegt wird.</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Ein entsprechendes Beteiligungsrecht sollte für den stationären Bereich beim InEK- Institut vorgesehen werden.</w:t>
      </w:r>
    </w:p>
    <w:p w:rsidR="00B51C22" w:rsidRPr="0083537C" w:rsidRDefault="00B51C22" w:rsidP="007B777B">
      <w:pPr>
        <w:rPr>
          <w:rFonts w:asciiTheme="minorHAnsi" w:hAnsiTheme="minorHAnsi"/>
          <w:sz w:val="22"/>
        </w:rPr>
      </w:pPr>
    </w:p>
    <w:p w:rsidR="00F81744" w:rsidRPr="0083537C" w:rsidRDefault="00F81744" w:rsidP="007B777B">
      <w:pPr>
        <w:rPr>
          <w:rFonts w:asciiTheme="minorHAnsi" w:hAnsiTheme="minorHAnsi"/>
          <w:sz w:val="22"/>
        </w:rPr>
      </w:pPr>
    </w:p>
    <w:p w:rsidR="00B51C22" w:rsidRPr="0083537C" w:rsidRDefault="00F81744" w:rsidP="007B777B">
      <w:pPr>
        <w:ind w:left="709" w:hanging="709"/>
        <w:rPr>
          <w:rFonts w:asciiTheme="minorHAnsi" w:hAnsiTheme="minorHAnsi"/>
          <w:b/>
          <w:sz w:val="22"/>
        </w:rPr>
      </w:pPr>
      <w:r w:rsidRPr="0083537C">
        <w:rPr>
          <w:rFonts w:asciiTheme="minorHAnsi" w:hAnsiTheme="minorHAnsi"/>
          <w:b/>
          <w:sz w:val="22"/>
        </w:rPr>
        <w:t>3.</w:t>
      </w:r>
      <w:r w:rsidRPr="0083537C">
        <w:rPr>
          <w:rFonts w:asciiTheme="minorHAnsi" w:hAnsiTheme="minorHAnsi"/>
          <w:b/>
          <w:sz w:val="22"/>
        </w:rPr>
        <w:tab/>
      </w:r>
      <w:r w:rsidR="00B51C22" w:rsidRPr="0083537C">
        <w:rPr>
          <w:rFonts w:asciiTheme="minorHAnsi" w:hAnsiTheme="minorHAnsi"/>
          <w:b/>
          <w:sz w:val="22"/>
        </w:rPr>
        <w:t>Qualitative Stärkung der Mitberatungsrechte der maßgeblichen Patientenorgani</w:t>
      </w:r>
      <w:r w:rsidRPr="0083537C">
        <w:rPr>
          <w:rFonts w:asciiTheme="minorHAnsi" w:hAnsiTheme="minorHAnsi"/>
          <w:b/>
          <w:sz w:val="22"/>
        </w:rPr>
        <w:t>sationen in den Gremien des Ge</w:t>
      </w:r>
      <w:r w:rsidR="00B51C22" w:rsidRPr="0083537C">
        <w:rPr>
          <w:rFonts w:asciiTheme="minorHAnsi" w:hAnsiTheme="minorHAnsi"/>
          <w:b/>
          <w:sz w:val="22"/>
        </w:rPr>
        <w:t>sundheitswesens</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Durch eine Ergänzung der Patientenbeteiligungsverordnung sollten die maßgeblichen Patientenorganis</w:t>
      </w:r>
      <w:r w:rsidRPr="0083537C">
        <w:rPr>
          <w:rFonts w:asciiTheme="minorHAnsi" w:hAnsiTheme="minorHAnsi"/>
          <w:sz w:val="22"/>
        </w:rPr>
        <w:t>a</w:t>
      </w:r>
      <w:r w:rsidRPr="0083537C">
        <w:rPr>
          <w:rFonts w:asciiTheme="minorHAnsi" w:hAnsiTheme="minorHAnsi"/>
          <w:sz w:val="22"/>
        </w:rPr>
        <w:t>tionen erweiterte Mitgestaltungsmög</w:t>
      </w:r>
      <w:r w:rsidR="00F81744" w:rsidRPr="0083537C">
        <w:rPr>
          <w:rFonts w:asciiTheme="minorHAnsi" w:hAnsiTheme="minorHAnsi"/>
          <w:sz w:val="22"/>
        </w:rPr>
        <w:t>lichkeiten in den Beratungsver</w:t>
      </w:r>
      <w:r w:rsidRPr="0083537C">
        <w:rPr>
          <w:rFonts w:asciiTheme="minorHAnsi" w:hAnsiTheme="minorHAnsi"/>
          <w:sz w:val="22"/>
        </w:rPr>
        <w:t xml:space="preserve">fahren der Gremien erhalten. Dabei geht es nicht um </w:t>
      </w:r>
      <w:r w:rsidR="0083537C" w:rsidRPr="0083537C">
        <w:rPr>
          <w:rFonts w:asciiTheme="minorHAnsi" w:hAnsiTheme="minorHAnsi"/>
          <w:sz w:val="22"/>
        </w:rPr>
        <w:t>das schon oft diskutierte Stimm</w:t>
      </w:r>
      <w:r w:rsidRPr="0083537C">
        <w:rPr>
          <w:rFonts w:asciiTheme="minorHAnsi" w:hAnsiTheme="minorHAnsi"/>
          <w:sz w:val="22"/>
        </w:rPr>
        <w:t>recht, sondern um eine Erweiterung der Verfahrensre</w:t>
      </w:r>
      <w:r w:rsidR="00F81744" w:rsidRPr="0083537C">
        <w:rPr>
          <w:rFonts w:asciiTheme="minorHAnsi" w:hAnsiTheme="minorHAnsi"/>
          <w:sz w:val="22"/>
        </w:rPr>
        <w:t>c</w:t>
      </w:r>
      <w:r w:rsidR="00F81744" w:rsidRPr="0083537C">
        <w:rPr>
          <w:rFonts w:asciiTheme="minorHAnsi" w:hAnsiTheme="minorHAnsi"/>
          <w:sz w:val="22"/>
        </w:rPr>
        <w:t>h</w:t>
      </w:r>
      <w:r w:rsidR="00F81744" w:rsidRPr="0083537C">
        <w:rPr>
          <w:rFonts w:asciiTheme="minorHAnsi" w:hAnsiTheme="minorHAnsi"/>
          <w:sz w:val="22"/>
        </w:rPr>
        <w:t>te z.B. bezüglich der Festle</w:t>
      </w:r>
      <w:r w:rsidRPr="0083537C">
        <w:rPr>
          <w:rFonts w:asciiTheme="minorHAnsi" w:hAnsiTheme="minorHAnsi"/>
          <w:sz w:val="22"/>
        </w:rPr>
        <w:t>gung von Tagesordnungen</w:t>
      </w:r>
      <w:r w:rsidR="004E7FEF">
        <w:rPr>
          <w:rFonts w:asciiTheme="minorHAnsi" w:hAnsiTheme="minorHAnsi"/>
          <w:sz w:val="22"/>
        </w:rPr>
        <w:t xml:space="preserve"> und des Zustandekommens</w:t>
      </w:r>
      <w:r w:rsidR="00BD5799">
        <w:rPr>
          <w:rFonts w:asciiTheme="minorHAnsi" w:hAnsiTheme="minorHAnsi"/>
          <w:sz w:val="22"/>
        </w:rPr>
        <w:t xml:space="preserve"> von Sitzungsterminen.</w:t>
      </w:r>
    </w:p>
    <w:p w:rsidR="00731AA9" w:rsidRDefault="00731AA9"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Auch an Entscheidungen, ob externe Institute und Be</w:t>
      </w:r>
      <w:r w:rsidR="0083537C" w:rsidRPr="0083537C">
        <w:rPr>
          <w:rFonts w:asciiTheme="minorHAnsi" w:hAnsiTheme="minorHAnsi"/>
          <w:sz w:val="22"/>
        </w:rPr>
        <w:t>hörden zur Bearbeitung von Auf</w:t>
      </w:r>
      <w:r w:rsidRPr="0083537C">
        <w:rPr>
          <w:rFonts w:asciiTheme="minorHAnsi" w:hAnsiTheme="minorHAnsi"/>
          <w:sz w:val="22"/>
        </w:rPr>
        <w:t xml:space="preserve">trägen eingeschaltet </w:t>
      </w:r>
      <w:r w:rsidR="00731AA9">
        <w:rPr>
          <w:rFonts w:asciiTheme="minorHAnsi" w:hAnsiTheme="minorHAnsi"/>
          <w:sz w:val="22"/>
        </w:rPr>
        <w:t>werden</w:t>
      </w:r>
      <w:r w:rsidRPr="0083537C">
        <w:rPr>
          <w:rFonts w:asciiTheme="minorHAnsi" w:hAnsiTheme="minorHAnsi"/>
          <w:sz w:val="22"/>
        </w:rPr>
        <w:t>, soll</w:t>
      </w:r>
      <w:r w:rsidR="00544986">
        <w:rPr>
          <w:rFonts w:asciiTheme="minorHAnsi" w:hAnsiTheme="minorHAnsi"/>
          <w:sz w:val="22"/>
        </w:rPr>
        <w:t>t</w:t>
      </w:r>
      <w:r w:rsidRPr="0083537C">
        <w:rPr>
          <w:rFonts w:asciiTheme="minorHAnsi" w:hAnsiTheme="minorHAnsi"/>
          <w:sz w:val="22"/>
        </w:rPr>
        <w:t>en die maßgeblichen Patientenorganisationen künftig gleichberechtigt mitwirken können.</w:t>
      </w:r>
    </w:p>
    <w:p w:rsidR="00B51C22" w:rsidRPr="0083537C" w:rsidRDefault="00B51C22" w:rsidP="007B777B">
      <w:pPr>
        <w:rPr>
          <w:rFonts w:asciiTheme="minorHAnsi" w:hAnsiTheme="minorHAnsi"/>
          <w:sz w:val="22"/>
        </w:rPr>
      </w:pPr>
    </w:p>
    <w:p w:rsidR="00F81744" w:rsidRPr="0083537C" w:rsidRDefault="00F81744" w:rsidP="007B777B">
      <w:pPr>
        <w:rPr>
          <w:rFonts w:asciiTheme="minorHAnsi" w:hAnsiTheme="minorHAnsi"/>
          <w:sz w:val="22"/>
        </w:rPr>
      </w:pPr>
    </w:p>
    <w:p w:rsidR="00B51C22" w:rsidRPr="0083537C" w:rsidRDefault="00F81744" w:rsidP="007B777B">
      <w:pPr>
        <w:rPr>
          <w:rFonts w:asciiTheme="minorHAnsi" w:hAnsiTheme="minorHAnsi"/>
          <w:b/>
          <w:sz w:val="22"/>
        </w:rPr>
      </w:pPr>
      <w:r w:rsidRPr="0083537C">
        <w:rPr>
          <w:rFonts w:asciiTheme="minorHAnsi" w:hAnsiTheme="minorHAnsi"/>
          <w:b/>
          <w:sz w:val="22"/>
        </w:rPr>
        <w:lastRenderedPageBreak/>
        <w:t>4.</w:t>
      </w:r>
      <w:r w:rsidRPr="0083537C">
        <w:rPr>
          <w:rFonts w:asciiTheme="minorHAnsi" w:hAnsiTheme="minorHAnsi"/>
          <w:b/>
          <w:sz w:val="22"/>
        </w:rPr>
        <w:tab/>
      </w:r>
      <w:r w:rsidR="00B51C22" w:rsidRPr="0083537C">
        <w:rPr>
          <w:rFonts w:asciiTheme="minorHAnsi" w:hAnsiTheme="minorHAnsi"/>
          <w:b/>
          <w:sz w:val="22"/>
        </w:rPr>
        <w:t>Stärkung der Beteiligungsrechte im Vertragsgeschehen</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Während die Vorteile der Patientenbeteiligung in den Gremien der Gemeinsamen Selbstverwaltung he</w:t>
      </w:r>
      <w:r w:rsidRPr="0083537C">
        <w:rPr>
          <w:rFonts w:asciiTheme="minorHAnsi" w:hAnsiTheme="minorHAnsi"/>
          <w:sz w:val="22"/>
        </w:rPr>
        <w:t>u</w:t>
      </w:r>
      <w:r w:rsidRPr="0083537C">
        <w:rPr>
          <w:rFonts w:asciiTheme="minorHAnsi" w:hAnsiTheme="minorHAnsi"/>
          <w:sz w:val="22"/>
        </w:rPr>
        <w:t>te allgemein anerkannt sind, wird das Vertragsgeschehen oftmals noch als interne Angelegenheit der jeweiligen Vertragspartner angesehen. Dennoch sind Patientinnen und Patienten an zahlreichen Stellen direkt mit den Auswirkungen des Vertragsgeschehens konfrontiert. Auch und gerade</w:t>
      </w:r>
      <w:r w:rsidR="00F81744" w:rsidRPr="0083537C">
        <w:rPr>
          <w:rFonts w:asciiTheme="minorHAnsi" w:hAnsiTheme="minorHAnsi"/>
          <w:sz w:val="22"/>
        </w:rPr>
        <w:t xml:space="preserve"> bei der Ausgesta</w:t>
      </w:r>
      <w:r w:rsidR="00F81744" w:rsidRPr="0083537C">
        <w:rPr>
          <w:rFonts w:asciiTheme="minorHAnsi" w:hAnsiTheme="minorHAnsi"/>
          <w:sz w:val="22"/>
        </w:rPr>
        <w:t>l</w:t>
      </w:r>
      <w:r w:rsidR="00F81744" w:rsidRPr="0083537C">
        <w:rPr>
          <w:rFonts w:asciiTheme="minorHAnsi" w:hAnsiTheme="minorHAnsi"/>
          <w:sz w:val="22"/>
        </w:rPr>
        <w:t>tung von Ver</w:t>
      </w:r>
      <w:r w:rsidRPr="0083537C">
        <w:rPr>
          <w:rFonts w:asciiTheme="minorHAnsi" w:hAnsiTheme="minorHAnsi"/>
          <w:sz w:val="22"/>
        </w:rPr>
        <w:t>sorgungsverträgen ist es deshalb entscheidend, dass die Betroffenenkompetenz der Patie</w:t>
      </w:r>
      <w:r w:rsidRPr="0083537C">
        <w:rPr>
          <w:rFonts w:asciiTheme="minorHAnsi" w:hAnsiTheme="minorHAnsi"/>
          <w:sz w:val="22"/>
        </w:rPr>
        <w:t>n</w:t>
      </w:r>
      <w:r w:rsidRPr="0083537C">
        <w:rPr>
          <w:rFonts w:asciiTheme="minorHAnsi" w:hAnsiTheme="minorHAnsi"/>
          <w:sz w:val="22"/>
        </w:rPr>
        <w:t>tinnen und Patienten und ihre Anliegen strukturiert eingebunden werden. Die Steuerung des Verso</w:t>
      </w:r>
      <w:r w:rsidRPr="0083537C">
        <w:rPr>
          <w:rFonts w:asciiTheme="minorHAnsi" w:hAnsiTheme="minorHAnsi"/>
          <w:sz w:val="22"/>
        </w:rPr>
        <w:t>r</w:t>
      </w:r>
      <w:r w:rsidRPr="0083537C">
        <w:rPr>
          <w:rFonts w:asciiTheme="minorHAnsi" w:hAnsiTheme="minorHAnsi"/>
          <w:sz w:val="22"/>
        </w:rPr>
        <w:t>gungsgeschehens durch Verträge unterscheidet sich insofern nicht von der Steuerung durch Richtlinien. Auch das Argument, dass es bei Verträgen um „Wettbewerb“ gehe, der Beteiligung ausschließe, ist ins</w:t>
      </w:r>
      <w:r w:rsidRPr="0083537C">
        <w:rPr>
          <w:rFonts w:asciiTheme="minorHAnsi" w:hAnsiTheme="minorHAnsi"/>
          <w:sz w:val="22"/>
        </w:rPr>
        <w:t>o</w:t>
      </w:r>
      <w:r w:rsidRPr="0083537C">
        <w:rPr>
          <w:rFonts w:asciiTheme="minorHAnsi" w:hAnsiTheme="minorHAnsi"/>
          <w:sz w:val="22"/>
        </w:rPr>
        <w:t>fern nicht stichhaltig, als bei weitem nicht alle Verträge überhaupt wettbewerblichen Charakter haben und wenn doch, dieser Wettbewerb nur dann zur erwünschten Qualitätssteigerung führen kann, wenn die Inhalte am Patientennutzen orientiert sind. Außerdem kann Wettbewerb nur dort funktionieren, wo die wesentlichen Vertragsinhalte auch transparent gemacht werden, damit die „Marktteilnehmer“ sac</w:t>
      </w:r>
      <w:r w:rsidRPr="0083537C">
        <w:rPr>
          <w:rFonts w:asciiTheme="minorHAnsi" w:hAnsiTheme="minorHAnsi"/>
          <w:sz w:val="22"/>
        </w:rPr>
        <w:t>h</w:t>
      </w:r>
      <w:r w:rsidRPr="0083537C">
        <w:rPr>
          <w:rFonts w:asciiTheme="minorHAnsi" w:hAnsiTheme="minorHAnsi"/>
          <w:sz w:val="22"/>
        </w:rPr>
        <w:t>gerecht entscheiden können.</w:t>
      </w:r>
    </w:p>
    <w:p w:rsidR="00F81744" w:rsidRPr="0083537C" w:rsidRDefault="00F81744"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Wie beim Gemeinsamen Bundesausschuss kann auch für eine Beteiligung der Patiente</w:t>
      </w:r>
      <w:r w:rsidR="00F81744" w:rsidRPr="0083537C">
        <w:rPr>
          <w:rFonts w:asciiTheme="minorHAnsi" w:hAnsiTheme="minorHAnsi"/>
          <w:sz w:val="22"/>
        </w:rPr>
        <w:t>n</w:t>
      </w:r>
      <w:r w:rsidRPr="0083537C">
        <w:rPr>
          <w:rFonts w:asciiTheme="minorHAnsi" w:hAnsiTheme="minorHAnsi"/>
          <w:sz w:val="22"/>
        </w:rPr>
        <w:t>vertretung am Vertragsgeschehen die Maßgabe der Vert</w:t>
      </w:r>
      <w:r w:rsidR="00F81744" w:rsidRPr="0083537C">
        <w:rPr>
          <w:rFonts w:asciiTheme="minorHAnsi" w:hAnsiTheme="minorHAnsi"/>
          <w:sz w:val="22"/>
        </w:rPr>
        <w:t>raulichkeit der Unterlagen gel</w:t>
      </w:r>
      <w:r w:rsidRPr="0083537C">
        <w:rPr>
          <w:rFonts w:asciiTheme="minorHAnsi" w:hAnsiTheme="minorHAnsi"/>
          <w:sz w:val="22"/>
        </w:rPr>
        <w:t>ten.</w:t>
      </w:r>
    </w:p>
    <w:p w:rsidR="00F81744" w:rsidRPr="0083537C" w:rsidRDefault="00F81744" w:rsidP="007B777B">
      <w:pPr>
        <w:rPr>
          <w:rFonts w:asciiTheme="minorHAnsi" w:hAnsiTheme="minorHAnsi"/>
          <w:sz w:val="22"/>
        </w:rPr>
      </w:pPr>
    </w:p>
    <w:p w:rsidR="00F81744" w:rsidRPr="0083537C" w:rsidRDefault="00B51C22" w:rsidP="007B777B">
      <w:pPr>
        <w:rPr>
          <w:rFonts w:asciiTheme="minorHAnsi" w:hAnsiTheme="minorHAnsi"/>
          <w:sz w:val="22"/>
        </w:rPr>
      </w:pPr>
      <w:r w:rsidRPr="0083537C">
        <w:rPr>
          <w:rFonts w:asciiTheme="minorHAnsi" w:hAnsiTheme="minorHAnsi"/>
          <w:sz w:val="22"/>
        </w:rPr>
        <w:t xml:space="preserve">Die maßgeblichen Patientenorganisationen fordern daher, </w:t>
      </w:r>
    </w:p>
    <w:p w:rsidR="00F81744" w:rsidRPr="0083537C" w:rsidRDefault="00F81744" w:rsidP="007B777B">
      <w:pPr>
        <w:rPr>
          <w:rFonts w:asciiTheme="minorHAnsi" w:hAnsiTheme="minorHAnsi"/>
          <w:sz w:val="22"/>
        </w:rPr>
      </w:pPr>
    </w:p>
    <w:p w:rsidR="00B51C22" w:rsidRPr="0083537C" w:rsidRDefault="00B51C22" w:rsidP="007B777B">
      <w:pPr>
        <w:pStyle w:val="Listenabsatz"/>
        <w:numPr>
          <w:ilvl w:val="0"/>
          <w:numId w:val="5"/>
        </w:numPr>
        <w:contextualSpacing w:val="0"/>
        <w:rPr>
          <w:rFonts w:asciiTheme="minorHAnsi" w:hAnsiTheme="minorHAnsi"/>
          <w:sz w:val="22"/>
        </w:rPr>
      </w:pPr>
      <w:r w:rsidRPr="0083537C">
        <w:rPr>
          <w:rFonts w:asciiTheme="minorHAnsi" w:hAnsiTheme="minorHAnsi"/>
          <w:sz w:val="22"/>
        </w:rPr>
        <w:t>dass ihnen künftig Mitberatungsrechte an den Verhandlungen zu versorgungssteuernden Verträgen zuerkannt werden bzw</w:t>
      </w:r>
      <w:r w:rsidR="00F81744" w:rsidRPr="0083537C">
        <w:rPr>
          <w:rFonts w:asciiTheme="minorHAnsi" w:hAnsiTheme="minorHAnsi"/>
          <w:sz w:val="22"/>
        </w:rPr>
        <w:t>. dass ihnen zumindest vor Ver</w:t>
      </w:r>
      <w:r w:rsidRPr="0083537C">
        <w:rPr>
          <w:rFonts w:asciiTheme="minorHAnsi" w:hAnsiTheme="minorHAnsi"/>
          <w:sz w:val="22"/>
        </w:rPr>
        <w:t>tragsschluss die Vertragsentwürfe zur Stellun</w:t>
      </w:r>
      <w:r w:rsidRPr="0083537C">
        <w:rPr>
          <w:rFonts w:asciiTheme="minorHAnsi" w:hAnsiTheme="minorHAnsi"/>
          <w:sz w:val="22"/>
        </w:rPr>
        <w:t>g</w:t>
      </w:r>
      <w:r w:rsidRPr="0083537C">
        <w:rPr>
          <w:rFonts w:asciiTheme="minorHAnsi" w:hAnsiTheme="minorHAnsi"/>
          <w:sz w:val="22"/>
        </w:rPr>
        <w:t>nahme übersandt werden.</w:t>
      </w:r>
      <w:r w:rsidR="00F81744" w:rsidRPr="0083537C">
        <w:rPr>
          <w:rFonts w:asciiTheme="minorHAnsi" w:hAnsiTheme="minorHAnsi"/>
          <w:sz w:val="22"/>
        </w:rPr>
        <w:br/>
      </w:r>
    </w:p>
    <w:p w:rsidR="00B51C22" w:rsidRPr="0083537C" w:rsidRDefault="00B51C22" w:rsidP="007B777B">
      <w:pPr>
        <w:pStyle w:val="Listenabsatz"/>
        <w:numPr>
          <w:ilvl w:val="0"/>
          <w:numId w:val="4"/>
        </w:numPr>
        <w:contextualSpacing w:val="0"/>
        <w:rPr>
          <w:rFonts w:asciiTheme="minorHAnsi" w:hAnsiTheme="minorHAnsi"/>
          <w:sz w:val="22"/>
        </w:rPr>
      </w:pPr>
      <w:r w:rsidRPr="0083537C">
        <w:rPr>
          <w:rFonts w:asciiTheme="minorHAnsi" w:hAnsiTheme="minorHAnsi"/>
          <w:sz w:val="22"/>
        </w:rPr>
        <w:t>Folgende Verträge sollen künftig nur noch unter Beteiligung der maßgeblichen Patientenorganisati</w:t>
      </w:r>
      <w:r w:rsidRPr="0083537C">
        <w:rPr>
          <w:rFonts w:asciiTheme="minorHAnsi" w:hAnsiTheme="minorHAnsi"/>
          <w:sz w:val="22"/>
        </w:rPr>
        <w:t>o</w:t>
      </w:r>
      <w:r w:rsidRPr="0083537C">
        <w:rPr>
          <w:rFonts w:asciiTheme="minorHAnsi" w:hAnsiTheme="minorHAnsi"/>
          <w:sz w:val="22"/>
        </w:rPr>
        <w:t xml:space="preserve">nen zustande kommen </w:t>
      </w:r>
      <w:r w:rsidR="00F81744" w:rsidRPr="0083537C">
        <w:rPr>
          <w:rFonts w:asciiTheme="minorHAnsi" w:hAnsiTheme="minorHAnsi"/>
          <w:sz w:val="22"/>
        </w:rPr>
        <w:br/>
      </w:r>
      <w:r w:rsidR="00F81744" w:rsidRPr="0083537C">
        <w:rPr>
          <w:rFonts w:asciiTheme="minorHAnsi" w:hAnsiTheme="minorHAnsi"/>
          <w:sz w:val="22"/>
        </w:rPr>
        <w:br/>
      </w:r>
      <w:r w:rsidRPr="0083537C">
        <w:rPr>
          <w:rFonts w:asciiTheme="minorHAnsi" w:hAnsiTheme="minorHAnsi"/>
          <w:sz w:val="22"/>
        </w:rPr>
        <w:t xml:space="preserve">− Modellvorhaben (Innovationsfonds, §§ 63-65) </w:t>
      </w:r>
      <w:r w:rsidR="00F81744" w:rsidRPr="0083537C">
        <w:rPr>
          <w:rFonts w:asciiTheme="minorHAnsi" w:hAnsiTheme="minorHAnsi"/>
          <w:sz w:val="22"/>
        </w:rPr>
        <w:br/>
      </w:r>
      <w:r w:rsidRPr="0083537C">
        <w:rPr>
          <w:rFonts w:asciiTheme="minorHAnsi" w:hAnsiTheme="minorHAnsi"/>
          <w:sz w:val="22"/>
        </w:rPr>
        <w:t xml:space="preserve">− Strukturverträge (§ 73a SGB V) </w:t>
      </w:r>
      <w:r w:rsidR="00F81744" w:rsidRPr="0083537C">
        <w:rPr>
          <w:rFonts w:asciiTheme="minorHAnsi" w:hAnsiTheme="minorHAnsi"/>
          <w:sz w:val="22"/>
        </w:rPr>
        <w:br/>
      </w:r>
      <w:r w:rsidRPr="0083537C">
        <w:rPr>
          <w:rFonts w:asciiTheme="minorHAnsi" w:hAnsiTheme="minorHAnsi"/>
          <w:sz w:val="22"/>
        </w:rPr>
        <w:t xml:space="preserve">− Hausarztzentrierte Versorgung (§ 73b) </w:t>
      </w:r>
      <w:r w:rsidR="00F81744" w:rsidRPr="0083537C">
        <w:rPr>
          <w:rFonts w:asciiTheme="minorHAnsi" w:hAnsiTheme="minorHAnsi"/>
          <w:sz w:val="22"/>
        </w:rPr>
        <w:br/>
      </w:r>
      <w:r w:rsidRPr="0083537C">
        <w:rPr>
          <w:rFonts w:asciiTheme="minorHAnsi" w:hAnsiTheme="minorHAnsi"/>
          <w:sz w:val="22"/>
        </w:rPr>
        <w:t xml:space="preserve">− Besondere ambulante ärztliche Versorgung (Facharztverträge, § 73c) </w:t>
      </w:r>
      <w:r w:rsidR="00F81744" w:rsidRPr="0083537C">
        <w:rPr>
          <w:rFonts w:asciiTheme="minorHAnsi" w:hAnsiTheme="minorHAnsi"/>
          <w:sz w:val="22"/>
        </w:rPr>
        <w:br/>
      </w:r>
      <w:r w:rsidRPr="0083537C">
        <w:rPr>
          <w:rFonts w:asciiTheme="minorHAnsi" w:hAnsiTheme="minorHAnsi"/>
          <w:sz w:val="22"/>
        </w:rPr>
        <w:t xml:space="preserve">− Rahmen- und Gesamtverträge (§§ 82 ff. SGB V) </w:t>
      </w:r>
      <w:r w:rsidR="00F81744" w:rsidRPr="0083537C">
        <w:rPr>
          <w:rFonts w:asciiTheme="minorHAnsi" w:hAnsiTheme="minorHAnsi"/>
          <w:sz w:val="22"/>
        </w:rPr>
        <w:br/>
      </w:r>
      <w:r w:rsidRPr="0083537C">
        <w:rPr>
          <w:rFonts w:asciiTheme="minorHAnsi" w:hAnsiTheme="minorHAnsi"/>
          <w:sz w:val="22"/>
        </w:rPr>
        <w:t xml:space="preserve">− DMP (§§ 137f-g) </w:t>
      </w:r>
      <w:r w:rsidR="00F81744" w:rsidRPr="0083537C">
        <w:rPr>
          <w:rFonts w:asciiTheme="minorHAnsi" w:hAnsiTheme="minorHAnsi"/>
          <w:sz w:val="22"/>
        </w:rPr>
        <w:br/>
      </w:r>
      <w:r w:rsidRPr="0083537C">
        <w:rPr>
          <w:rFonts w:asciiTheme="minorHAnsi" w:hAnsiTheme="minorHAnsi"/>
          <w:sz w:val="22"/>
        </w:rPr>
        <w:t xml:space="preserve">− Integrierte Versorgung, §§ 140a ff SGB V) </w:t>
      </w:r>
      <w:r w:rsidR="00F81744" w:rsidRPr="0083537C">
        <w:rPr>
          <w:rFonts w:asciiTheme="minorHAnsi" w:hAnsiTheme="minorHAnsi"/>
          <w:sz w:val="22"/>
        </w:rPr>
        <w:br/>
      </w:r>
      <w:r w:rsidRPr="0083537C">
        <w:rPr>
          <w:rFonts w:asciiTheme="minorHAnsi" w:hAnsiTheme="minorHAnsi"/>
          <w:sz w:val="22"/>
        </w:rPr>
        <w:t xml:space="preserve">− Verträge zur Hilfsmittelversorgung (§ 127) </w:t>
      </w:r>
      <w:r w:rsidR="00F81744" w:rsidRPr="0083537C">
        <w:rPr>
          <w:rFonts w:asciiTheme="minorHAnsi" w:hAnsiTheme="minorHAnsi"/>
          <w:sz w:val="22"/>
        </w:rPr>
        <w:br/>
      </w:r>
      <w:r w:rsidRPr="0083537C">
        <w:rPr>
          <w:rFonts w:asciiTheme="minorHAnsi" w:hAnsiTheme="minorHAnsi"/>
          <w:sz w:val="22"/>
        </w:rPr>
        <w:t>− Heilmittel (§ 125)</w:t>
      </w:r>
    </w:p>
    <w:p w:rsidR="00B51C22" w:rsidRDefault="00B51C22" w:rsidP="007B777B">
      <w:pPr>
        <w:rPr>
          <w:rFonts w:asciiTheme="minorHAnsi" w:hAnsiTheme="minorHAnsi"/>
          <w:sz w:val="22"/>
        </w:rPr>
      </w:pPr>
    </w:p>
    <w:p w:rsidR="00CB6843" w:rsidRPr="0083537C" w:rsidRDefault="00CB6843" w:rsidP="007B777B">
      <w:pPr>
        <w:rPr>
          <w:rFonts w:asciiTheme="minorHAnsi" w:hAnsiTheme="minorHAnsi"/>
          <w:sz w:val="22"/>
        </w:rPr>
      </w:pPr>
      <w:r>
        <w:rPr>
          <w:rFonts w:asciiTheme="minorHAnsi" w:hAnsiTheme="minorHAnsi"/>
          <w:sz w:val="22"/>
        </w:rPr>
        <w:t xml:space="preserve">Für die Umsetzung dieser Bereiche der Patientenbeteiligung ist jedoch eine organisatorische Stärkung der Patientenvertretung – insbesondere auf Landesebene – erforderlich. </w:t>
      </w:r>
    </w:p>
    <w:p w:rsidR="00B51C22" w:rsidRDefault="00B51C22" w:rsidP="007B777B">
      <w:pPr>
        <w:rPr>
          <w:rFonts w:asciiTheme="minorHAnsi" w:hAnsiTheme="minorHAnsi"/>
          <w:sz w:val="22"/>
        </w:rPr>
      </w:pPr>
    </w:p>
    <w:p w:rsidR="00CB6843" w:rsidRPr="0083537C" w:rsidRDefault="00CB6843" w:rsidP="007B777B">
      <w:pPr>
        <w:rPr>
          <w:rFonts w:asciiTheme="minorHAnsi" w:hAnsiTheme="minorHAnsi"/>
          <w:sz w:val="22"/>
        </w:rPr>
      </w:pPr>
    </w:p>
    <w:p w:rsidR="00B51C22" w:rsidRPr="0083537C" w:rsidRDefault="00F81744" w:rsidP="007B777B">
      <w:pPr>
        <w:rPr>
          <w:rFonts w:asciiTheme="minorHAnsi" w:hAnsiTheme="minorHAnsi"/>
          <w:b/>
          <w:sz w:val="22"/>
        </w:rPr>
      </w:pPr>
      <w:r w:rsidRPr="0083537C">
        <w:rPr>
          <w:rFonts w:asciiTheme="minorHAnsi" w:hAnsiTheme="minorHAnsi"/>
          <w:b/>
          <w:sz w:val="22"/>
        </w:rPr>
        <w:t>5.</w:t>
      </w:r>
      <w:r w:rsidRPr="0083537C">
        <w:rPr>
          <w:rFonts w:asciiTheme="minorHAnsi" w:hAnsiTheme="minorHAnsi"/>
          <w:b/>
          <w:sz w:val="22"/>
        </w:rPr>
        <w:tab/>
      </w:r>
      <w:r w:rsidR="00B51C22" w:rsidRPr="0083537C">
        <w:rPr>
          <w:rFonts w:asciiTheme="minorHAnsi" w:hAnsiTheme="minorHAnsi"/>
          <w:b/>
          <w:sz w:val="22"/>
        </w:rPr>
        <w:t>Weiterentwicklung der Patientenbeteiligung auf Landesebene</w:t>
      </w:r>
    </w:p>
    <w:p w:rsidR="00B51C22" w:rsidRPr="0083537C" w:rsidRDefault="00B51C22" w:rsidP="007B777B">
      <w:pPr>
        <w:rPr>
          <w:rFonts w:asciiTheme="minorHAnsi" w:hAnsiTheme="minorHAnsi"/>
          <w:sz w:val="22"/>
        </w:rPr>
      </w:pPr>
    </w:p>
    <w:p w:rsidR="00731AA9" w:rsidRDefault="00731AA9" w:rsidP="007B777B">
      <w:pPr>
        <w:rPr>
          <w:rFonts w:asciiTheme="minorHAnsi" w:hAnsiTheme="minorHAnsi"/>
          <w:sz w:val="22"/>
        </w:rPr>
      </w:pPr>
      <w:r w:rsidRPr="0083537C">
        <w:rPr>
          <w:rFonts w:asciiTheme="minorHAnsi" w:hAnsiTheme="minorHAnsi"/>
          <w:sz w:val="22"/>
        </w:rPr>
        <w:t xml:space="preserve">Zur Umsetzung der Patientenbeteiligung auf Landesebene fehlt es bislang an unterstützenden Strukturen und Angeboten, wie dies auf der Bundesebene bspw. durch die Stabsstelle Patientenbeteiligung nach § 140f Abs. 6 SGB V vorgesehen ist. Die maßgeblichen Patientenorganisationen fordern, dass auch für die Beteiligung auf Landesebene durch Bundesgesetz entsprechende Unterstützungsstrukturen geschaffen </w:t>
      </w:r>
      <w:r>
        <w:rPr>
          <w:rFonts w:asciiTheme="minorHAnsi" w:hAnsiTheme="minorHAnsi"/>
          <w:sz w:val="22"/>
        </w:rPr>
        <w:t xml:space="preserve">werden. </w:t>
      </w:r>
    </w:p>
    <w:p w:rsidR="00731AA9" w:rsidRDefault="00731AA9" w:rsidP="007B777B">
      <w:pPr>
        <w:rPr>
          <w:rFonts w:asciiTheme="minorHAnsi" w:hAnsiTheme="minorHAnsi"/>
          <w:sz w:val="22"/>
        </w:rPr>
      </w:pPr>
    </w:p>
    <w:p w:rsidR="00731AA9" w:rsidRPr="0083537C" w:rsidRDefault="00731AA9" w:rsidP="007B777B">
      <w:pPr>
        <w:rPr>
          <w:rFonts w:asciiTheme="minorHAnsi" w:hAnsiTheme="minorHAnsi"/>
          <w:sz w:val="22"/>
        </w:rPr>
      </w:pPr>
      <w:r>
        <w:rPr>
          <w:rFonts w:asciiTheme="minorHAnsi" w:hAnsiTheme="minorHAnsi"/>
          <w:sz w:val="22"/>
        </w:rPr>
        <w:lastRenderedPageBreak/>
        <w:t>Die Regelung zur Förderung von Koordinierungs- und Abstimmungstreffen, zur Durchführung der Bene</w:t>
      </w:r>
      <w:r>
        <w:rPr>
          <w:rFonts w:asciiTheme="minorHAnsi" w:hAnsiTheme="minorHAnsi"/>
          <w:sz w:val="22"/>
        </w:rPr>
        <w:t>n</w:t>
      </w:r>
      <w:r>
        <w:rPr>
          <w:rFonts w:asciiTheme="minorHAnsi" w:hAnsiTheme="minorHAnsi"/>
          <w:sz w:val="22"/>
        </w:rPr>
        <w:t xml:space="preserve">nungsverfahren und </w:t>
      </w:r>
      <w:r w:rsidRPr="0083537C">
        <w:rPr>
          <w:rFonts w:asciiTheme="minorHAnsi" w:hAnsiTheme="minorHAnsi"/>
          <w:sz w:val="22"/>
        </w:rPr>
        <w:t xml:space="preserve">von Schulungs- und Qualifizierungsmaßnahmen für Patientenvertreterinnen und –vertreter </w:t>
      </w:r>
      <w:r>
        <w:rPr>
          <w:rFonts w:asciiTheme="minorHAnsi" w:hAnsiTheme="minorHAnsi"/>
          <w:sz w:val="22"/>
        </w:rPr>
        <w:t>in § 140f Absatz 7 SGB V ist klarstellend zu ergänzen, dass die Mittel nicht nur von den Lande</w:t>
      </w:r>
      <w:r>
        <w:rPr>
          <w:rFonts w:asciiTheme="minorHAnsi" w:hAnsiTheme="minorHAnsi"/>
          <w:sz w:val="22"/>
        </w:rPr>
        <w:t>s</w:t>
      </w:r>
      <w:r>
        <w:rPr>
          <w:rFonts w:asciiTheme="minorHAnsi" w:hAnsiTheme="minorHAnsi"/>
          <w:sz w:val="22"/>
        </w:rPr>
        <w:t>ausschüssen nach § 90 SGB V, sondern auch von den Gremien im zahnärztlichen Bereich sowie im Falle des erweiter</w:t>
      </w:r>
      <w:r w:rsidR="007B777B">
        <w:rPr>
          <w:rFonts w:asciiTheme="minorHAnsi" w:hAnsiTheme="minorHAnsi"/>
          <w:sz w:val="22"/>
        </w:rPr>
        <w:t>ten Landesausschusses nach § 116</w:t>
      </w:r>
      <w:r>
        <w:rPr>
          <w:rFonts w:asciiTheme="minorHAnsi" w:hAnsiTheme="minorHAnsi"/>
          <w:sz w:val="22"/>
        </w:rPr>
        <w:t>b Abs. 3 SGB V von dem stationären Sektor aufzubringen sind</w:t>
      </w:r>
      <w:r w:rsidRPr="0083537C">
        <w:rPr>
          <w:rFonts w:asciiTheme="minorHAnsi" w:hAnsiTheme="minorHAnsi"/>
          <w:sz w:val="22"/>
        </w:rPr>
        <w:t>.</w:t>
      </w:r>
    </w:p>
    <w:p w:rsidR="00731AA9" w:rsidRPr="0083537C" w:rsidRDefault="00731AA9" w:rsidP="007B777B">
      <w:pPr>
        <w:rPr>
          <w:rFonts w:asciiTheme="minorHAnsi" w:hAnsiTheme="minorHAnsi"/>
          <w:sz w:val="22"/>
        </w:rPr>
      </w:pPr>
    </w:p>
    <w:p w:rsidR="00731AA9" w:rsidRPr="0083537C" w:rsidRDefault="00731AA9" w:rsidP="007B777B">
      <w:pPr>
        <w:rPr>
          <w:rFonts w:asciiTheme="minorHAnsi" w:hAnsiTheme="minorHAnsi"/>
          <w:sz w:val="22"/>
        </w:rPr>
      </w:pPr>
      <w:r w:rsidRPr="0083537C">
        <w:rPr>
          <w:rFonts w:asciiTheme="minorHAnsi" w:hAnsiTheme="minorHAnsi"/>
          <w:sz w:val="22"/>
        </w:rPr>
        <w:t>Ferner fordern die maßgeblichen Patientenorganisationen für die Landesebene eine Weiterentwicklung der Patientenbeteiligung in folgenden Bereichen:</w:t>
      </w:r>
    </w:p>
    <w:p w:rsidR="00731AA9" w:rsidRPr="0083537C" w:rsidRDefault="00731AA9" w:rsidP="007B777B">
      <w:pPr>
        <w:rPr>
          <w:rFonts w:asciiTheme="minorHAnsi" w:hAnsiTheme="minorHAnsi"/>
          <w:sz w:val="22"/>
        </w:rPr>
      </w:pPr>
    </w:p>
    <w:p w:rsidR="00731AA9" w:rsidRPr="0083537C" w:rsidRDefault="00731AA9" w:rsidP="007B777B">
      <w:pPr>
        <w:pStyle w:val="Listenabsatz"/>
        <w:numPr>
          <w:ilvl w:val="0"/>
          <w:numId w:val="4"/>
        </w:numPr>
        <w:contextualSpacing w:val="0"/>
        <w:rPr>
          <w:rFonts w:asciiTheme="minorHAnsi" w:hAnsiTheme="minorHAnsi"/>
          <w:sz w:val="22"/>
        </w:rPr>
      </w:pPr>
      <w:r w:rsidRPr="0083537C">
        <w:rPr>
          <w:rFonts w:asciiTheme="minorHAnsi" w:hAnsiTheme="minorHAnsi"/>
          <w:sz w:val="22"/>
        </w:rPr>
        <w:t>Die maßgeblichen Patientenorganisationen sollen künftig auch bei der Gestaltung der Krankhau</w:t>
      </w:r>
      <w:r w:rsidRPr="0083537C">
        <w:rPr>
          <w:rFonts w:asciiTheme="minorHAnsi" w:hAnsiTheme="minorHAnsi"/>
          <w:sz w:val="22"/>
        </w:rPr>
        <w:t>s</w:t>
      </w:r>
      <w:r w:rsidRPr="0083537C">
        <w:rPr>
          <w:rFonts w:asciiTheme="minorHAnsi" w:hAnsiTheme="minorHAnsi"/>
          <w:sz w:val="22"/>
        </w:rPr>
        <w:t>hausplanung mitwirken können.</w:t>
      </w:r>
    </w:p>
    <w:p w:rsidR="00731AA9" w:rsidRPr="0083537C" w:rsidRDefault="00731AA9" w:rsidP="007B777B">
      <w:pPr>
        <w:pStyle w:val="Listenabsatz"/>
        <w:numPr>
          <w:ilvl w:val="0"/>
          <w:numId w:val="4"/>
        </w:numPr>
        <w:contextualSpacing w:val="0"/>
        <w:rPr>
          <w:rFonts w:asciiTheme="minorHAnsi" w:hAnsiTheme="minorHAnsi"/>
          <w:sz w:val="22"/>
        </w:rPr>
      </w:pPr>
      <w:r w:rsidRPr="0083537C">
        <w:rPr>
          <w:rFonts w:asciiTheme="minorHAnsi" w:hAnsiTheme="minorHAnsi"/>
          <w:sz w:val="22"/>
        </w:rPr>
        <w:t>Beteiligung an den Qualitätssicherungskommissionen der KVen.</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p>
    <w:p w:rsidR="00B51C22" w:rsidRPr="00310552" w:rsidRDefault="00F81744" w:rsidP="007B777B">
      <w:pPr>
        <w:rPr>
          <w:rFonts w:asciiTheme="minorHAnsi" w:hAnsiTheme="minorHAnsi"/>
          <w:b/>
          <w:sz w:val="26"/>
          <w:szCs w:val="26"/>
        </w:rPr>
      </w:pPr>
      <w:r w:rsidRPr="00310552">
        <w:rPr>
          <w:rFonts w:asciiTheme="minorHAnsi" w:hAnsiTheme="minorHAnsi"/>
          <w:b/>
          <w:sz w:val="26"/>
          <w:szCs w:val="26"/>
        </w:rPr>
        <w:t>III.</w:t>
      </w:r>
      <w:r w:rsidRPr="00310552">
        <w:rPr>
          <w:rFonts w:asciiTheme="minorHAnsi" w:hAnsiTheme="minorHAnsi"/>
          <w:b/>
          <w:sz w:val="26"/>
          <w:szCs w:val="26"/>
        </w:rPr>
        <w:tab/>
      </w:r>
      <w:r w:rsidR="00B51C22" w:rsidRPr="00310552">
        <w:rPr>
          <w:rFonts w:asciiTheme="minorHAnsi" w:hAnsiTheme="minorHAnsi"/>
          <w:b/>
          <w:sz w:val="26"/>
          <w:szCs w:val="26"/>
        </w:rPr>
        <w:t>Förderung der maßgeblichen Patientenorganisationen</w:t>
      </w:r>
    </w:p>
    <w:p w:rsidR="00CB6843" w:rsidRDefault="00CB6843" w:rsidP="007B777B">
      <w:pPr>
        <w:rPr>
          <w:rFonts w:asciiTheme="minorHAnsi" w:hAnsiTheme="minorHAnsi"/>
          <w:sz w:val="22"/>
        </w:rPr>
      </w:pPr>
    </w:p>
    <w:p w:rsidR="00CB6843" w:rsidRDefault="00CB6843" w:rsidP="00CB6843">
      <w:pPr>
        <w:rPr>
          <w:rFonts w:asciiTheme="minorHAnsi" w:hAnsiTheme="minorHAnsi"/>
          <w:sz w:val="22"/>
        </w:rPr>
      </w:pPr>
      <w:r>
        <w:rPr>
          <w:rFonts w:asciiTheme="minorHAnsi" w:hAnsiTheme="minorHAnsi"/>
          <w:sz w:val="22"/>
        </w:rPr>
        <w:t>Die Patientenvertretung im G</w:t>
      </w:r>
      <w:r w:rsidRPr="00CB6843">
        <w:rPr>
          <w:rFonts w:asciiTheme="minorHAnsi" w:hAnsiTheme="minorHAnsi"/>
          <w:sz w:val="22"/>
        </w:rPr>
        <w:t xml:space="preserve">BA verfügt aus der eigenen Betroffenheit, der organisierten Selbsthilfe und aus der Beratung über das Wissen um die Bedürfnisse und die Probleme der </w:t>
      </w:r>
      <w:r>
        <w:rPr>
          <w:rFonts w:asciiTheme="minorHAnsi" w:hAnsiTheme="minorHAnsi"/>
          <w:sz w:val="22"/>
        </w:rPr>
        <w:t>Patientinnen und Patienten</w:t>
      </w:r>
      <w:r w:rsidRPr="00CB6843">
        <w:rPr>
          <w:rFonts w:asciiTheme="minorHAnsi" w:hAnsiTheme="minorHAnsi"/>
          <w:sz w:val="22"/>
        </w:rPr>
        <w:t xml:space="preserve"> in der realen Versorgung.</w:t>
      </w:r>
    </w:p>
    <w:p w:rsidR="00CB6843" w:rsidRPr="00CB6843" w:rsidRDefault="00CB6843" w:rsidP="00CB6843">
      <w:pPr>
        <w:rPr>
          <w:rFonts w:asciiTheme="minorHAnsi" w:hAnsiTheme="minorHAnsi"/>
          <w:sz w:val="22"/>
        </w:rPr>
      </w:pPr>
    </w:p>
    <w:p w:rsidR="00CB6843" w:rsidRPr="00CB6843" w:rsidRDefault="00871B5E" w:rsidP="00CB6843">
      <w:pPr>
        <w:rPr>
          <w:rFonts w:asciiTheme="minorHAnsi" w:hAnsiTheme="minorHAnsi"/>
          <w:sz w:val="22"/>
        </w:rPr>
      </w:pPr>
      <w:r>
        <w:rPr>
          <w:rFonts w:asciiTheme="minorHAnsi" w:hAnsiTheme="minorHAnsi"/>
          <w:sz w:val="22"/>
        </w:rPr>
        <w:t>2004 wurde</w:t>
      </w:r>
      <w:r w:rsidR="00CB6843" w:rsidRPr="00CB6843">
        <w:rPr>
          <w:rFonts w:asciiTheme="minorHAnsi" w:hAnsiTheme="minorHAnsi"/>
          <w:sz w:val="22"/>
        </w:rPr>
        <w:t xml:space="preserve"> §140f </w:t>
      </w:r>
      <w:r>
        <w:rPr>
          <w:rFonts w:asciiTheme="minorHAnsi" w:hAnsiTheme="minorHAnsi"/>
          <w:sz w:val="22"/>
        </w:rPr>
        <w:t xml:space="preserve">SGB V </w:t>
      </w:r>
      <w:r w:rsidR="00CB6843" w:rsidRPr="00CB6843">
        <w:rPr>
          <w:rFonts w:asciiTheme="minorHAnsi" w:hAnsiTheme="minorHAnsi"/>
          <w:sz w:val="22"/>
        </w:rPr>
        <w:t>gesch</w:t>
      </w:r>
      <w:r w:rsidR="00CB6843">
        <w:rPr>
          <w:rFonts w:asciiTheme="minorHAnsi" w:hAnsiTheme="minorHAnsi"/>
          <w:sz w:val="22"/>
        </w:rPr>
        <w:t>affen</w:t>
      </w:r>
      <w:r>
        <w:rPr>
          <w:rFonts w:asciiTheme="minorHAnsi" w:hAnsiTheme="minorHAnsi"/>
          <w:sz w:val="22"/>
        </w:rPr>
        <w:t>,</w:t>
      </w:r>
      <w:r w:rsidR="00CB6843">
        <w:rPr>
          <w:rFonts w:asciiTheme="minorHAnsi" w:hAnsiTheme="minorHAnsi"/>
          <w:sz w:val="22"/>
        </w:rPr>
        <w:t xml:space="preserve"> um dieses Wissen in den G</w:t>
      </w:r>
      <w:r w:rsidR="00CB6843" w:rsidRPr="00CB6843">
        <w:rPr>
          <w:rFonts w:asciiTheme="minorHAnsi" w:hAnsiTheme="minorHAnsi"/>
          <w:sz w:val="22"/>
        </w:rPr>
        <w:t>BA einzubringen. Seitdem haben wir schmerzhaft gelernt, dass Betroffenenberichte höchstens zu Präambeln, aber nicht zu Rechtsansprüchen führen. Dazu braucht es zusätzlich juristisches und medizinisches Wissen und sehr viel Zeit. Wir nehmen wie die anderen Bänke an allen Sitzungen teil, bereiten Beschlussvorlagen vor und stellen eigene Anträge. Zusätzlich muss die Arbeit der 300 Patientenvertreter</w:t>
      </w:r>
      <w:r w:rsidR="001D295E">
        <w:rPr>
          <w:rFonts w:asciiTheme="minorHAnsi" w:hAnsiTheme="minorHAnsi"/>
          <w:sz w:val="22"/>
        </w:rPr>
        <w:t>innen und -vertreter</w:t>
      </w:r>
      <w:r w:rsidR="00CB6843" w:rsidRPr="00CB6843">
        <w:rPr>
          <w:rFonts w:asciiTheme="minorHAnsi" w:hAnsiTheme="minorHAnsi"/>
          <w:sz w:val="22"/>
        </w:rPr>
        <w:t xml:space="preserve"> koordiniert und organisiert werden. Wir sind de facto eine Bank von Vollzeit Ehrenamtlern. Denn auch für die hauptamtlichen geht diese koordinierende Arbeit über das Verbandsinteresse hinaus. </w:t>
      </w:r>
    </w:p>
    <w:p w:rsidR="00CB6843" w:rsidRPr="00CB6843" w:rsidRDefault="00CB6843" w:rsidP="00CB6843">
      <w:pPr>
        <w:rPr>
          <w:rFonts w:asciiTheme="minorHAnsi" w:hAnsiTheme="minorHAnsi"/>
          <w:sz w:val="22"/>
        </w:rPr>
      </w:pPr>
    </w:p>
    <w:p w:rsidR="00BD5799" w:rsidRPr="00CB6843" w:rsidRDefault="00BD5799" w:rsidP="007B777B">
      <w:pPr>
        <w:rPr>
          <w:rFonts w:asciiTheme="minorHAnsi" w:hAnsiTheme="minorHAnsi"/>
          <w:sz w:val="22"/>
        </w:rPr>
      </w:pPr>
      <w:r w:rsidRPr="00CB6843">
        <w:rPr>
          <w:rFonts w:asciiTheme="minorHAnsi" w:hAnsiTheme="minorHAnsi"/>
          <w:sz w:val="22"/>
        </w:rPr>
        <w:t xml:space="preserve">Die Patientenbeteiligung schöpft ihre Kraft und ihr Knowhow aus dem ehrenamtlichen Engagement der </w:t>
      </w:r>
      <w:r w:rsidR="00CB6843">
        <w:rPr>
          <w:rFonts w:asciiTheme="minorHAnsi" w:hAnsiTheme="minorHAnsi"/>
          <w:sz w:val="22"/>
        </w:rPr>
        <w:t>Patientinnen und Patienten</w:t>
      </w:r>
      <w:r w:rsidRPr="00CB6843">
        <w:rPr>
          <w:rFonts w:asciiTheme="minorHAnsi" w:hAnsiTheme="minorHAnsi"/>
          <w:sz w:val="22"/>
        </w:rPr>
        <w:t>. Die Mitwirkung in den Gremien d</w:t>
      </w:r>
      <w:r w:rsidR="00731AA9" w:rsidRPr="00CB6843">
        <w:rPr>
          <w:rFonts w:asciiTheme="minorHAnsi" w:hAnsiTheme="minorHAnsi"/>
          <w:sz w:val="22"/>
        </w:rPr>
        <w:t>er Gemeinsamen Selbstverwaltung</w:t>
      </w:r>
      <w:r w:rsidRPr="00CB6843">
        <w:rPr>
          <w:rFonts w:asciiTheme="minorHAnsi" w:hAnsiTheme="minorHAnsi"/>
          <w:sz w:val="22"/>
        </w:rPr>
        <w:t>, die Mitgestaltung des Versorgungsgeschehens erfordert jedoch darüber hinaus auch funktionsfähige Arbeit</w:t>
      </w:r>
      <w:r w:rsidRPr="00CB6843">
        <w:rPr>
          <w:rFonts w:asciiTheme="minorHAnsi" w:hAnsiTheme="minorHAnsi"/>
          <w:sz w:val="22"/>
        </w:rPr>
        <w:t>s</w:t>
      </w:r>
      <w:r w:rsidRPr="00CB6843">
        <w:rPr>
          <w:rFonts w:asciiTheme="minorHAnsi" w:hAnsiTheme="minorHAnsi"/>
          <w:sz w:val="22"/>
        </w:rPr>
        <w:t>strukturen und eine effiziente Koordinati</w:t>
      </w:r>
      <w:r w:rsidR="00731AA9" w:rsidRPr="00CB6843">
        <w:rPr>
          <w:rFonts w:asciiTheme="minorHAnsi" w:hAnsiTheme="minorHAnsi"/>
          <w:sz w:val="22"/>
        </w:rPr>
        <w:t>o</w:t>
      </w:r>
      <w:r w:rsidRPr="00CB6843">
        <w:rPr>
          <w:rFonts w:asciiTheme="minorHAnsi" w:hAnsiTheme="minorHAnsi"/>
          <w:sz w:val="22"/>
        </w:rPr>
        <w:t>n des gemeinsamen Vorgehens.</w:t>
      </w:r>
    </w:p>
    <w:p w:rsidR="00BD5799" w:rsidRPr="0083537C" w:rsidRDefault="00BD5799"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Die koordinierende Tätigkeit der maßgeblichen Patientenorganisationen ist eine Grundvoraussetzung für das Funktionieren der Patient</w:t>
      </w:r>
      <w:r w:rsidR="00F81744" w:rsidRPr="0083537C">
        <w:rPr>
          <w:rFonts w:asciiTheme="minorHAnsi" w:hAnsiTheme="minorHAnsi"/>
          <w:sz w:val="22"/>
        </w:rPr>
        <w:t>enbeteiligung im Gesundheitswe</w:t>
      </w:r>
      <w:r w:rsidRPr="0083537C">
        <w:rPr>
          <w:rFonts w:asciiTheme="minorHAnsi" w:hAnsiTheme="minorHAnsi"/>
          <w:sz w:val="22"/>
        </w:rPr>
        <w:t>sen. Diese Tätigkeit erfolgt im Gesamtint</w:t>
      </w:r>
      <w:r w:rsidRPr="0083537C">
        <w:rPr>
          <w:rFonts w:asciiTheme="minorHAnsi" w:hAnsiTheme="minorHAnsi"/>
          <w:sz w:val="22"/>
        </w:rPr>
        <w:t>e</w:t>
      </w:r>
      <w:r w:rsidRPr="0083537C">
        <w:rPr>
          <w:rFonts w:asciiTheme="minorHAnsi" w:hAnsiTheme="minorHAnsi"/>
          <w:sz w:val="22"/>
        </w:rPr>
        <w:t>resse aller Patientinnen und Patienten und der Selbsthilfe chronisch kranker und behinderter Menschen und geht vielfach über das Verbandsinteresse hinaus. Die maßgeblichen Patientenorganisationen fordern daher die Schaffung eines spezifischen Haushaltstitels im Bundeshaushalt zur Finanzierung ihrer syste</w:t>
      </w:r>
      <w:r w:rsidRPr="0083537C">
        <w:rPr>
          <w:rFonts w:asciiTheme="minorHAnsi" w:hAnsiTheme="minorHAnsi"/>
          <w:sz w:val="22"/>
        </w:rPr>
        <w:t>m</w:t>
      </w:r>
      <w:r w:rsidRPr="0083537C">
        <w:rPr>
          <w:rFonts w:asciiTheme="minorHAnsi" w:hAnsiTheme="minorHAnsi"/>
          <w:sz w:val="22"/>
        </w:rPr>
        <w:t>unterstützenden Arbeit bzw. bezogen auf die gesetzliche Krankenversicherung eine Berücksichtigung beim Systemzuschlag.</w:t>
      </w:r>
    </w:p>
    <w:p w:rsidR="00B51C22" w:rsidRPr="0083537C" w:rsidRDefault="00B51C22" w:rsidP="007B777B">
      <w:pPr>
        <w:rPr>
          <w:rFonts w:asciiTheme="minorHAnsi" w:hAnsiTheme="minorHAnsi"/>
          <w:sz w:val="22"/>
        </w:rPr>
      </w:pPr>
    </w:p>
    <w:p w:rsidR="00B51C22" w:rsidRPr="0083537C" w:rsidRDefault="00B51C22" w:rsidP="007B777B">
      <w:pPr>
        <w:rPr>
          <w:rFonts w:asciiTheme="minorHAnsi" w:hAnsiTheme="minorHAnsi"/>
          <w:sz w:val="22"/>
        </w:rPr>
      </w:pPr>
      <w:r w:rsidRPr="0083537C">
        <w:rPr>
          <w:rFonts w:asciiTheme="minorHAnsi" w:hAnsiTheme="minorHAnsi"/>
          <w:sz w:val="22"/>
        </w:rPr>
        <w:t>Wird die Ausweitung der Beteiligungsrechte nicht durch eine strukturelle Stärkung der Patientenbeteil</w:t>
      </w:r>
      <w:r w:rsidRPr="0083537C">
        <w:rPr>
          <w:rFonts w:asciiTheme="minorHAnsi" w:hAnsiTheme="minorHAnsi"/>
          <w:sz w:val="22"/>
        </w:rPr>
        <w:t>i</w:t>
      </w:r>
      <w:r w:rsidRPr="0083537C">
        <w:rPr>
          <w:rFonts w:asciiTheme="minorHAnsi" w:hAnsiTheme="minorHAnsi"/>
          <w:sz w:val="22"/>
        </w:rPr>
        <w:t>gung unterlegt, dann verkümmert sie zur Beteiligung auf dem Papier und verliert ihre systemgestalter</w:t>
      </w:r>
      <w:r w:rsidRPr="0083537C">
        <w:rPr>
          <w:rFonts w:asciiTheme="minorHAnsi" w:hAnsiTheme="minorHAnsi"/>
          <w:sz w:val="22"/>
        </w:rPr>
        <w:t>i</w:t>
      </w:r>
      <w:r w:rsidRPr="0083537C">
        <w:rPr>
          <w:rFonts w:asciiTheme="minorHAnsi" w:hAnsiTheme="minorHAnsi"/>
          <w:sz w:val="22"/>
        </w:rPr>
        <w:t>sche Kraft.</w:t>
      </w:r>
    </w:p>
    <w:p w:rsidR="00731AA9" w:rsidRDefault="00731AA9" w:rsidP="007B777B">
      <w:pPr>
        <w:rPr>
          <w:rFonts w:asciiTheme="minorHAnsi" w:hAnsiTheme="minorHAnsi"/>
          <w:sz w:val="22"/>
        </w:rPr>
      </w:pPr>
    </w:p>
    <w:p w:rsidR="002D1EBB" w:rsidRPr="0083537C" w:rsidRDefault="00731AA9" w:rsidP="007B777B">
      <w:pPr>
        <w:rPr>
          <w:rFonts w:asciiTheme="minorHAnsi" w:hAnsiTheme="minorHAnsi"/>
          <w:sz w:val="22"/>
        </w:rPr>
      </w:pPr>
      <w:r>
        <w:rPr>
          <w:rFonts w:asciiTheme="minorHAnsi" w:hAnsiTheme="minorHAnsi"/>
          <w:sz w:val="22"/>
        </w:rPr>
        <w:t>Auch die Betroffenenb</w:t>
      </w:r>
      <w:r w:rsidR="009B3132" w:rsidRPr="009B3132">
        <w:rPr>
          <w:rFonts w:asciiTheme="minorHAnsi" w:hAnsiTheme="minorHAnsi"/>
          <w:sz w:val="22"/>
        </w:rPr>
        <w:t xml:space="preserve">eteiligung </w:t>
      </w:r>
      <w:r>
        <w:rPr>
          <w:rFonts w:asciiTheme="minorHAnsi" w:hAnsiTheme="minorHAnsi"/>
          <w:sz w:val="22"/>
        </w:rPr>
        <w:t xml:space="preserve">in der Pflege nach § 118 SGB XI </w:t>
      </w:r>
      <w:r w:rsidR="009B3132" w:rsidRPr="009B3132">
        <w:rPr>
          <w:rFonts w:asciiTheme="minorHAnsi" w:hAnsiTheme="minorHAnsi"/>
          <w:sz w:val="22"/>
        </w:rPr>
        <w:t xml:space="preserve">wird immer aufwändiger. </w:t>
      </w:r>
      <w:r w:rsidR="00CB6843">
        <w:rPr>
          <w:rFonts w:asciiTheme="minorHAnsi" w:hAnsiTheme="minorHAnsi"/>
          <w:sz w:val="22"/>
        </w:rPr>
        <w:t>Hier fehlt es an den notwendigen Unterstützungsinstrumenten, um die Betroffenenbeteiligung wirkungsvoll zu organisi</w:t>
      </w:r>
      <w:r w:rsidR="00CB6843">
        <w:rPr>
          <w:rFonts w:asciiTheme="minorHAnsi" w:hAnsiTheme="minorHAnsi"/>
          <w:sz w:val="22"/>
        </w:rPr>
        <w:t>e</w:t>
      </w:r>
      <w:r w:rsidR="00CB6843">
        <w:rPr>
          <w:rFonts w:asciiTheme="minorHAnsi" w:hAnsiTheme="minorHAnsi"/>
          <w:sz w:val="22"/>
        </w:rPr>
        <w:t xml:space="preserve">ren. </w:t>
      </w:r>
      <w:r w:rsidR="009B3132" w:rsidRPr="009B3132">
        <w:rPr>
          <w:rFonts w:asciiTheme="minorHAnsi" w:hAnsiTheme="minorHAnsi"/>
          <w:sz w:val="22"/>
        </w:rPr>
        <w:t>Daher mü</w:t>
      </w:r>
      <w:r w:rsidR="00CB6843">
        <w:rPr>
          <w:rFonts w:asciiTheme="minorHAnsi" w:hAnsiTheme="minorHAnsi"/>
          <w:sz w:val="22"/>
        </w:rPr>
        <w:t>ssen in § 118 SGB XI</w:t>
      </w:r>
      <w:r w:rsidR="009B3132" w:rsidRPr="009B3132">
        <w:rPr>
          <w:rFonts w:asciiTheme="minorHAnsi" w:hAnsiTheme="minorHAnsi"/>
          <w:sz w:val="22"/>
        </w:rPr>
        <w:t xml:space="preserve"> die gleichen Unterstützungsregelungen wie i</w:t>
      </w:r>
      <w:r>
        <w:rPr>
          <w:rFonts w:asciiTheme="minorHAnsi" w:hAnsiTheme="minorHAnsi"/>
          <w:sz w:val="22"/>
        </w:rPr>
        <w:t>n</w:t>
      </w:r>
      <w:r w:rsidR="009B3132" w:rsidRPr="009B3132">
        <w:rPr>
          <w:rFonts w:asciiTheme="minorHAnsi" w:hAnsiTheme="minorHAnsi"/>
          <w:sz w:val="22"/>
        </w:rPr>
        <w:t xml:space="preserve"> §140f</w:t>
      </w:r>
      <w:r>
        <w:rPr>
          <w:rFonts w:asciiTheme="minorHAnsi" w:hAnsiTheme="minorHAnsi"/>
          <w:sz w:val="22"/>
        </w:rPr>
        <w:t xml:space="preserve"> SGB V gesetzlich verankert werden</w:t>
      </w:r>
      <w:r w:rsidR="009B3132" w:rsidRPr="009B3132">
        <w:rPr>
          <w:rFonts w:asciiTheme="minorHAnsi" w:hAnsiTheme="minorHAnsi"/>
          <w:sz w:val="22"/>
        </w:rPr>
        <w:t>.</w:t>
      </w:r>
      <w:bookmarkStart w:id="0" w:name="_GoBack"/>
      <w:bookmarkEnd w:id="0"/>
    </w:p>
    <w:sectPr w:rsidR="002D1EBB" w:rsidRPr="0083537C" w:rsidSect="00310552">
      <w:headerReference w:type="default" r:id="rId9"/>
      <w:footerReference w:type="default" r:id="rId10"/>
      <w:pgSz w:w="11906" w:h="16838"/>
      <w:pgMar w:top="1701" w:right="1134" w:bottom="1134" w:left="1304" w:header="102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7C" w:rsidRDefault="0083537C" w:rsidP="0083537C">
      <w:r>
        <w:separator/>
      </w:r>
    </w:p>
  </w:endnote>
  <w:endnote w:type="continuationSeparator" w:id="0">
    <w:p w:rsidR="0083537C" w:rsidRDefault="0083537C" w:rsidP="0083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12306"/>
      <w:docPartObj>
        <w:docPartGallery w:val="Page Numbers (Bottom of Page)"/>
        <w:docPartUnique/>
      </w:docPartObj>
    </w:sdtPr>
    <w:sdtEndPr/>
    <w:sdtContent>
      <w:p w:rsidR="00310552" w:rsidRDefault="00310552">
        <w:pPr>
          <w:pStyle w:val="Fuzeile"/>
          <w:jc w:val="right"/>
        </w:pPr>
        <w:r>
          <w:fldChar w:fldCharType="begin"/>
        </w:r>
        <w:r>
          <w:instrText>PAGE   \* MERGEFORMAT</w:instrText>
        </w:r>
        <w:r>
          <w:fldChar w:fldCharType="separate"/>
        </w:r>
        <w:r w:rsidR="00035697">
          <w:rPr>
            <w:noProof/>
          </w:rPr>
          <w:t>8</w:t>
        </w:r>
        <w:r>
          <w:fldChar w:fldCharType="end"/>
        </w:r>
      </w:p>
    </w:sdtContent>
  </w:sdt>
  <w:p w:rsidR="0083537C" w:rsidRDefault="008353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7C" w:rsidRDefault="0083537C" w:rsidP="0083537C">
      <w:r>
        <w:separator/>
      </w:r>
    </w:p>
  </w:footnote>
  <w:footnote w:type="continuationSeparator" w:id="0">
    <w:p w:rsidR="0083537C" w:rsidRDefault="0083537C" w:rsidP="0083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96" w:rsidRDefault="001E1C96" w:rsidP="001E1C96">
    <w:pPr>
      <w:pStyle w:val="Kopfzeile"/>
    </w:pPr>
    <w:r>
      <w:rPr>
        <w:noProof/>
        <w:lang w:eastAsia="de-DE"/>
      </w:rPr>
      <w:drawing>
        <wp:anchor distT="0" distB="0" distL="114300" distR="114300" simplePos="0" relativeHeight="251660288" behindDoc="0" locked="0" layoutInCell="1" allowOverlap="1" wp14:anchorId="0B0759BD" wp14:editId="340A5225">
          <wp:simplePos x="0" y="0"/>
          <wp:positionH relativeFrom="column">
            <wp:posOffset>4945380</wp:posOffset>
          </wp:positionH>
          <wp:positionV relativeFrom="paragraph">
            <wp:posOffset>-95885</wp:posOffset>
          </wp:positionV>
          <wp:extent cx="1296035" cy="481330"/>
          <wp:effectExtent l="0" t="0" r="0" b="0"/>
          <wp:wrapSquare wrapText="bothSides"/>
          <wp:docPr id="10" name="Grafik 10" descr="Bundesverband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verband_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0AFE2EE9" wp14:editId="545A4F79">
          <wp:simplePos x="0" y="0"/>
          <wp:positionH relativeFrom="column">
            <wp:posOffset>3286125</wp:posOffset>
          </wp:positionH>
          <wp:positionV relativeFrom="paragraph">
            <wp:posOffset>-67310</wp:posOffset>
          </wp:positionV>
          <wp:extent cx="1515745" cy="377190"/>
          <wp:effectExtent l="0" t="0" r="8255" b="3810"/>
          <wp:wrapSquare wrapText="bothSides"/>
          <wp:docPr id="11" name="Grafik 11" descr="logoDAG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AG_CMYK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74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27A7C2F4" wp14:editId="69EED6FE">
          <wp:simplePos x="0" y="0"/>
          <wp:positionH relativeFrom="column">
            <wp:posOffset>-20320</wp:posOffset>
          </wp:positionH>
          <wp:positionV relativeFrom="paragraph">
            <wp:posOffset>-97155</wp:posOffset>
          </wp:positionV>
          <wp:extent cx="1586865" cy="3302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86865" cy="33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0ABAABA3" wp14:editId="36574C21">
              <wp:simplePos x="0" y="0"/>
              <wp:positionH relativeFrom="column">
                <wp:posOffset>2114550</wp:posOffset>
              </wp:positionH>
              <wp:positionV relativeFrom="paragraph">
                <wp:posOffset>-95250</wp:posOffset>
              </wp:positionV>
              <wp:extent cx="1059180" cy="481330"/>
              <wp:effectExtent l="0" t="0" r="7620" b="1397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96" w:rsidRDefault="001E1C96" w:rsidP="001E1C96">
                          <w:pPr>
                            <w:rPr>
                              <w:rFonts w:ascii="Arial Narrow" w:hAnsi="Arial Narrow"/>
                              <w:b/>
                              <w:sz w:val="16"/>
                              <w:szCs w:val="16"/>
                            </w:rPr>
                          </w:pPr>
                          <w:r>
                            <w:rPr>
                              <w:rFonts w:ascii="Arial Narrow" w:hAnsi="Arial Narrow"/>
                              <w:b/>
                              <w:bCs/>
                              <w:sz w:val="18"/>
                              <w:szCs w:val="16"/>
                            </w:rPr>
                            <w:t>B</w:t>
                          </w:r>
                          <w:r>
                            <w:rPr>
                              <w:rFonts w:ascii="Arial Narrow" w:hAnsi="Arial Narrow"/>
                              <w:bCs/>
                              <w:sz w:val="16"/>
                              <w:szCs w:val="16"/>
                            </w:rPr>
                            <w:t>undes</w:t>
                          </w:r>
                          <w:r>
                            <w:rPr>
                              <w:rFonts w:ascii="Arial Narrow" w:hAnsi="Arial Narrow"/>
                              <w:b/>
                              <w:sz w:val="18"/>
                              <w:szCs w:val="16"/>
                            </w:rPr>
                            <w:t>A</w:t>
                          </w:r>
                          <w:r>
                            <w:rPr>
                              <w:rFonts w:ascii="Arial Narrow" w:hAnsi="Arial Narrow"/>
                              <w:bCs/>
                              <w:sz w:val="16"/>
                              <w:szCs w:val="16"/>
                            </w:rPr>
                            <w:t>rbeits</w:t>
                          </w:r>
                          <w:r>
                            <w:rPr>
                              <w:rFonts w:ascii="Arial Narrow" w:hAnsi="Arial Narrow"/>
                              <w:b/>
                              <w:sz w:val="18"/>
                              <w:szCs w:val="16"/>
                            </w:rPr>
                            <w:t>G</w:t>
                          </w:r>
                          <w:r>
                            <w:rPr>
                              <w:rFonts w:ascii="Arial Narrow" w:hAnsi="Arial Narrow"/>
                              <w:bCs/>
                              <w:sz w:val="16"/>
                              <w:szCs w:val="16"/>
                            </w:rPr>
                            <w:t>emei</w:t>
                          </w:r>
                          <w:r>
                            <w:rPr>
                              <w:rFonts w:ascii="Arial Narrow" w:hAnsi="Arial Narrow"/>
                              <w:bCs/>
                              <w:sz w:val="16"/>
                              <w:szCs w:val="16"/>
                            </w:rPr>
                            <w:t>n</w:t>
                          </w:r>
                          <w:r>
                            <w:rPr>
                              <w:rFonts w:ascii="Arial Narrow" w:hAnsi="Arial Narrow"/>
                              <w:bCs/>
                              <w:sz w:val="16"/>
                              <w:szCs w:val="16"/>
                            </w:rPr>
                            <w:t xml:space="preserve">schaft der </w:t>
                          </w:r>
                          <w:r>
                            <w:rPr>
                              <w:rFonts w:ascii="Arial Narrow" w:hAnsi="Arial Narrow"/>
                              <w:b/>
                              <w:sz w:val="18"/>
                              <w:szCs w:val="16"/>
                            </w:rPr>
                            <w:t>P</w:t>
                          </w:r>
                          <w:r>
                            <w:rPr>
                              <w:rFonts w:ascii="Arial Narrow" w:hAnsi="Arial Narrow"/>
                              <w:bCs/>
                              <w:sz w:val="16"/>
                              <w:szCs w:val="16"/>
                            </w:rPr>
                            <w:t>atientInnen-stellen und -initiativen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166.5pt;margin-top:-7.5pt;width:83.4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fsAIAAKs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" filled="f" stroked="f">
              <v:textbox inset="0,0,0,0">
                <w:txbxContent>
                  <w:p w:rsidR="001E1C96" w:rsidRDefault="001E1C96" w:rsidP="001E1C96">
                    <w:pPr>
                      <w:rPr>
                        <w:rFonts w:ascii="Arial Narrow" w:hAnsi="Arial Narrow"/>
                        <w:b/>
                        <w:sz w:val="16"/>
                        <w:szCs w:val="16"/>
                      </w:rPr>
                    </w:pPr>
                    <w:r>
                      <w:rPr>
                        <w:rFonts w:ascii="Arial Narrow" w:hAnsi="Arial Narrow"/>
                        <w:b/>
                        <w:bCs/>
                        <w:sz w:val="18"/>
                        <w:szCs w:val="16"/>
                      </w:rPr>
                      <w:t>B</w:t>
                    </w:r>
                    <w:r>
                      <w:rPr>
                        <w:rFonts w:ascii="Arial Narrow" w:hAnsi="Arial Narrow"/>
                        <w:bCs/>
                        <w:sz w:val="16"/>
                        <w:szCs w:val="16"/>
                      </w:rPr>
                      <w:t>undes</w:t>
                    </w:r>
                    <w:r>
                      <w:rPr>
                        <w:rFonts w:ascii="Arial Narrow" w:hAnsi="Arial Narrow"/>
                        <w:b/>
                        <w:sz w:val="18"/>
                        <w:szCs w:val="16"/>
                      </w:rPr>
                      <w:t>A</w:t>
                    </w:r>
                    <w:r>
                      <w:rPr>
                        <w:rFonts w:ascii="Arial Narrow" w:hAnsi="Arial Narrow"/>
                        <w:bCs/>
                        <w:sz w:val="16"/>
                        <w:szCs w:val="16"/>
                      </w:rPr>
                      <w:t>rbeits</w:t>
                    </w:r>
                    <w:r>
                      <w:rPr>
                        <w:rFonts w:ascii="Arial Narrow" w:hAnsi="Arial Narrow"/>
                        <w:b/>
                        <w:sz w:val="18"/>
                        <w:szCs w:val="16"/>
                      </w:rPr>
                      <w:t>G</w:t>
                    </w:r>
                    <w:r>
                      <w:rPr>
                        <w:rFonts w:ascii="Arial Narrow" w:hAnsi="Arial Narrow"/>
                        <w:bCs/>
                        <w:sz w:val="16"/>
                        <w:szCs w:val="16"/>
                      </w:rPr>
                      <w:t>emei</w:t>
                    </w:r>
                    <w:r>
                      <w:rPr>
                        <w:rFonts w:ascii="Arial Narrow" w:hAnsi="Arial Narrow"/>
                        <w:bCs/>
                        <w:sz w:val="16"/>
                        <w:szCs w:val="16"/>
                      </w:rPr>
                      <w:t>n</w:t>
                    </w:r>
                    <w:r>
                      <w:rPr>
                        <w:rFonts w:ascii="Arial Narrow" w:hAnsi="Arial Narrow"/>
                        <w:bCs/>
                        <w:sz w:val="16"/>
                        <w:szCs w:val="16"/>
                      </w:rPr>
                      <w:t xml:space="preserve">schaft der </w:t>
                    </w:r>
                    <w:r>
                      <w:rPr>
                        <w:rFonts w:ascii="Arial Narrow" w:hAnsi="Arial Narrow"/>
                        <w:b/>
                        <w:sz w:val="18"/>
                        <w:szCs w:val="16"/>
                      </w:rPr>
                      <w:t>P</w:t>
                    </w:r>
                    <w:r>
                      <w:rPr>
                        <w:rFonts w:ascii="Arial Narrow" w:hAnsi="Arial Narrow"/>
                        <w:bCs/>
                        <w:sz w:val="16"/>
                        <w:szCs w:val="16"/>
                      </w:rPr>
                      <w:t>atientInnen-stellen und -initiativen</w:t>
                    </w:r>
                  </w:p>
                </w:txbxContent>
              </v:textbox>
              <w10:wrap type="square"/>
            </v:shape>
          </w:pict>
        </mc:Fallback>
      </mc:AlternateContent>
    </w:r>
    <w:r>
      <w:rPr>
        <w:noProof/>
        <w:lang w:eastAsia="de-DE"/>
      </w:rPr>
      <w:drawing>
        <wp:anchor distT="0" distB="0" distL="114300" distR="114300" simplePos="0" relativeHeight="251662336" behindDoc="0" locked="0" layoutInCell="1" allowOverlap="1" wp14:anchorId="4E106581" wp14:editId="6612E5B2">
          <wp:simplePos x="0" y="0"/>
          <wp:positionH relativeFrom="column">
            <wp:posOffset>1717040</wp:posOffset>
          </wp:positionH>
          <wp:positionV relativeFrom="paragraph">
            <wp:posOffset>-95250</wp:posOffset>
          </wp:positionV>
          <wp:extent cx="393700" cy="504825"/>
          <wp:effectExtent l="0" t="0" r="635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700" cy="504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1C96" w:rsidRDefault="001E1C96" w:rsidP="001E1C96">
    <w:pPr>
      <w:pStyle w:val="Kopfzeile"/>
    </w:pPr>
  </w:p>
  <w:p w:rsidR="001E1C96" w:rsidRDefault="001E1C96">
    <w:pPr>
      <w:pStyle w:val="Kopfzeile"/>
    </w:pPr>
  </w:p>
  <w:p w:rsidR="0038728A" w:rsidRDefault="003872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F78"/>
    <w:multiLevelType w:val="hybridMultilevel"/>
    <w:tmpl w:val="D60AD6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7EC4495"/>
    <w:multiLevelType w:val="hybridMultilevel"/>
    <w:tmpl w:val="B7A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90702C4"/>
    <w:multiLevelType w:val="hybridMultilevel"/>
    <w:tmpl w:val="DA081C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5845C0"/>
    <w:multiLevelType w:val="hybridMultilevel"/>
    <w:tmpl w:val="E894F7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EA527EE"/>
    <w:multiLevelType w:val="hybridMultilevel"/>
    <w:tmpl w:val="E3AE29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22"/>
    <w:rsid w:val="00035697"/>
    <w:rsid w:val="000A704A"/>
    <w:rsid w:val="00110DF6"/>
    <w:rsid w:val="001D295E"/>
    <w:rsid w:val="001E1C96"/>
    <w:rsid w:val="00201816"/>
    <w:rsid w:val="002D1EBB"/>
    <w:rsid w:val="00310552"/>
    <w:rsid w:val="00320ACA"/>
    <w:rsid w:val="003347A7"/>
    <w:rsid w:val="00354611"/>
    <w:rsid w:val="0038728A"/>
    <w:rsid w:val="004E7FEF"/>
    <w:rsid w:val="004F4857"/>
    <w:rsid w:val="00544986"/>
    <w:rsid w:val="00577870"/>
    <w:rsid w:val="00667092"/>
    <w:rsid w:val="006A5B44"/>
    <w:rsid w:val="00731AA9"/>
    <w:rsid w:val="007B777B"/>
    <w:rsid w:val="007B7B24"/>
    <w:rsid w:val="007D7AC0"/>
    <w:rsid w:val="0083537C"/>
    <w:rsid w:val="00871B5E"/>
    <w:rsid w:val="00951EDB"/>
    <w:rsid w:val="009B3132"/>
    <w:rsid w:val="00A3249E"/>
    <w:rsid w:val="00AE0FCD"/>
    <w:rsid w:val="00B51C22"/>
    <w:rsid w:val="00BD5799"/>
    <w:rsid w:val="00C21457"/>
    <w:rsid w:val="00C23C49"/>
    <w:rsid w:val="00C715B5"/>
    <w:rsid w:val="00CB610D"/>
    <w:rsid w:val="00CB6843"/>
    <w:rsid w:val="00D57FCC"/>
    <w:rsid w:val="00D81017"/>
    <w:rsid w:val="00DA2022"/>
    <w:rsid w:val="00DF23D2"/>
    <w:rsid w:val="00EC52C1"/>
    <w:rsid w:val="00F4162E"/>
    <w:rsid w:val="00F81744"/>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1C22"/>
    <w:pPr>
      <w:ind w:left="720"/>
      <w:contextualSpacing/>
    </w:pPr>
  </w:style>
  <w:style w:type="paragraph" w:styleId="Sprechblasentext">
    <w:name w:val="Balloon Text"/>
    <w:basedOn w:val="Standard"/>
    <w:link w:val="SprechblasentextZchn"/>
    <w:uiPriority w:val="99"/>
    <w:semiHidden/>
    <w:unhideWhenUsed/>
    <w:rsid w:val="000A70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04A"/>
    <w:rPr>
      <w:rFonts w:ascii="Tahoma" w:hAnsi="Tahoma" w:cs="Tahoma"/>
      <w:sz w:val="16"/>
      <w:szCs w:val="16"/>
    </w:rPr>
  </w:style>
  <w:style w:type="paragraph" w:styleId="Kopfzeile">
    <w:name w:val="header"/>
    <w:basedOn w:val="Standard"/>
    <w:link w:val="KopfzeileZchn"/>
    <w:uiPriority w:val="99"/>
    <w:unhideWhenUsed/>
    <w:rsid w:val="0083537C"/>
    <w:pPr>
      <w:tabs>
        <w:tab w:val="center" w:pos="4536"/>
        <w:tab w:val="right" w:pos="9072"/>
      </w:tabs>
    </w:pPr>
  </w:style>
  <w:style w:type="character" w:customStyle="1" w:styleId="KopfzeileZchn">
    <w:name w:val="Kopfzeile Zchn"/>
    <w:basedOn w:val="Absatz-Standardschriftart"/>
    <w:link w:val="Kopfzeile"/>
    <w:uiPriority w:val="99"/>
    <w:rsid w:val="0083537C"/>
  </w:style>
  <w:style w:type="paragraph" w:styleId="Fuzeile">
    <w:name w:val="footer"/>
    <w:basedOn w:val="Standard"/>
    <w:link w:val="FuzeileZchn"/>
    <w:uiPriority w:val="99"/>
    <w:unhideWhenUsed/>
    <w:rsid w:val="0083537C"/>
    <w:pPr>
      <w:tabs>
        <w:tab w:val="center" w:pos="4536"/>
        <w:tab w:val="right" w:pos="9072"/>
      </w:tabs>
    </w:pPr>
  </w:style>
  <w:style w:type="character" w:customStyle="1" w:styleId="FuzeileZchn">
    <w:name w:val="Fußzeile Zchn"/>
    <w:basedOn w:val="Absatz-Standardschriftart"/>
    <w:link w:val="Fuzeile"/>
    <w:uiPriority w:val="99"/>
    <w:rsid w:val="0083537C"/>
  </w:style>
  <w:style w:type="character" w:styleId="Kommentarzeichen">
    <w:name w:val="annotation reference"/>
    <w:basedOn w:val="Absatz-Standardschriftart"/>
    <w:uiPriority w:val="99"/>
    <w:semiHidden/>
    <w:unhideWhenUsed/>
    <w:rsid w:val="003546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1C22"/>
    <w:pPr>
      <w:ind w:left="720"/>
      <w:contextualSpacing/>
    </w:pPr>
  </w:style>
  <w:style w:type="paragraph" w:styleId="Sprechblasentext">
    <w:name w:val="Balloon Text"/>
    <w:basedOn w:val="Standard"/>
    <w:link w:val="SprechblasentextZchn"/>
    <w:uiPriority w:val="99"/>
    <w:semiHidden/>
    <w:unhideWhenUsed/>
    <w:rsid w:val="000A70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04A"/>
    <w:rPr>
      <w:rFonts w:ascii="Tahoma" w:hAnsi="Tahoma" w:cs="Tahoma"/>
      <w:sz w:val="16"/>
      <w:szCs w:val="16"/>
    </w:rPr>
  </w:style>
  <w:style w:type="paragraph" w:styleId="Kopfzeile">
    <w:name w:val="header"/>
    <w:basedOn w:val="Standard"/>
    <w:link w:val="KopfzeileZchn"/>
    <w:uiPriority w:val="99"/>
    <w:unhideWhenUsed/>
    <w:rsid w:val="0083537C"/>
    <w:pPr>
      <w:tabs>
        <w:tab w:val="center" w:pos="4536"/>
        <w:tab w:val="right" w:pos="9072"/>
      </w:tabs>
    </w:pPr>
  </w:style>
  <w:style w:type="character" w:customStyle="1" w:styleId="KopfzeileZchn">
    <w:name w:val="Kopfzeile Zchn"/>
    <w:basedOn w:val="Absatz-Standardschriftart"/>
    <w:link w:val="Kopfzeile"/>
    <w:uiPriority w:val="99"/>
    <w:rsid w:val="0083537C"/>
  </w:style>
  <w:style w:type="paragraph" w:styleId="Fuzeile">
    <w:name w:val="footer"/>
    <w:basedOn w:val="Standard"/>
    <w:link w:val="FuzeileZchn"/>
    <w:uiPriority w:val="99"/>
    <w:unhideWhenUsed/>
    <w:rsid w:val="0083537C"/>
    <w:pPr>
      <w:tabs>
        <w:tab w:val="center" w:pos="4536"/>
        <w:tab w:val="right" w:pos="9072"/>
      </w:tabs>
    </w:pPr>
  </w:style>
  <w:style w:type="character" w:customStyle="1" w:styleId="FuzeileZchn">
    <w:name w:val="Fußzeile Zchn"/>
    <w:basedOn w:val="Absatz-Standardschriftart"/>
    <w:link w:val="Fuzeile"/>
    <w:uiPriority w:val="99"/>
    <w:rsid w:val="0083537C"/>
  </w:style>
  <w:style w:type="character" w:styleId="Kommentarzeichen">
    <w:name w:val="annotation reference"/>
    <w:basedOn w:val="Absatz-Standardschriftart"/>
    <w:uiPriority w:val="99"/>
    <w:semiHidden/>
    <w:unhideWhenUsed/>
    <w:rsid w:val="003546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1600">
      <w:bodyDiv w:val="1"/>
      <w:marLeft w:val="0"/>
      <w:marRight w:val="0"/>
      <w:marTop w:val="0"/>
      <w:marBottom w:val="0"/>
      <w:divBdr>
        <w:top w:val="none" w:sz="0" w:space="0" w:color="auto"/>
        <w:left w:val="none" w:sz="0" w:space="0" w:color="auto"/>
        <w:bottom w:val="none" w:sz="0" w:space="0" w:color="auto"/>
        <w:right w:val="none" w:sz="0" w:space="0" w:color="auto"/>
      </w:divBdr>
    </w:div>
    <w:div w:id="1221091157">
      <w:bodyDiv w:val="1"/>
      <w:marLeft w:val="0"/>
      <w:marRight w:val="0"/>
      <w:marTop w:val="0"/>
      <w:marBottom w:val="0"/>
      <w:divBdr>
        <w:top w:val="none" w:sz="0" w:space="0" w:color="auto"/>
        <w:left w:val="none" w:sz="0" w:space="0" w:color="auto"/>
        <w:bottom w:val="none" w:sz="0" w:space="0" w:color="auto"/>
        <w:right w:val="none" w:sz="0" w:space="0" w:color="auto"/>
      </w:divBdr>
    </w:div>
    <w:div w:id="13995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220D-871F-41D9-9C5D-8E3CD809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21408</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Beatrix Boehm</cp:lastModifiedBy>
  <cp:revision>2</cp:revision>
  <cp:lastPrinted>2018-06-25T10:19:00Z</cp:lastPrinted>
  <dcterms:created xsi:type="dcterms:W3CDTF">2018-06-25T13:56:00Z</dcterms:created>
  <dcterms:modified xsi:type="dcterms:W3CDTF">2018-06-25T13:56:00Z</dcterms:modified>
</cp:coreProperties>
</file>