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C5" w:rsidRPr="00B50BCD" w:rsidRDefault="00EE14C5">
      <w:pPr>
        <w:rPr>
          <w:rFonts w:ascii="Trebuchet MS" w:hAnsi="Trebuchet MS"/>
          <w:sz w:val="24"/>
          <w:szCs w:val="24"/>
        </w:rPr>
      </w:pPr>
    </w:p>
    <w:p w:rsidR="00EE14C5" w:rsidRDefault="00EE14C5" w:rsidP="00EE14C5">
      <w:pPr>
        <w:tabs>
          <w:tab w:val="left" w:pos="454"/>
          <w:tab w:val="left" w:pos="851"/>
        </w:tabs>
        <w:spacing w:line="360" w:lineRule="auto"/>
        <w:rPr>
          <w:rFonts w:ascii="Trebuchet MS" w:eastAsia="Times New Roman" w:hAnsi="Trebuchet MS" w:cs="Times New Roman"/>
          <w:sz w:val="24"/>
          <w:szCs w:val="20"/>
          <w:lang w:eastAsia="de-DE"/>
        </w:rPr>
      </w:pPr>
    </w:p>
    <w:p w:rsidR="00EE14C5" w:rsidRDefault="00EE14C5" w:rsidP="00EE14C5">
      <w:pPr>
        <w:tabs>
          <w:tab w:val="left" w:pos="454"/>
          <w:tab w:val="left" w:pos="851"/>
        </w:tabs>
        <w:spacing w:line="360" w:lineRule="auto"/>
        <w:rPr>
          <w:rFonts w:ascii="Trebuchet MS" w:eastAsia="Times New Roman" w:hAnsi="Trebuchet MS" w:cs="Times New Roman"/>
          <w:sz w:val="24"/>
          <w:szCs w:val="20"/>
          <w:lang w:eastAsia="de-DE"/>
        </w:rPr>
      </w:pPr>
    </w:p>
    <w:p w:rsidR="00EE14C5" w:rsidRDefault="00EE14C5" w:rsidP="00EE14C5">
      <w:pPr>
        <w:tabs>
          <w:tab w:val="left" w:pos="454"/>
          <w:tab w:val="left" w:pos="851"/>
        </w:tabs>
        <w:spacing w:line="360" w:lineRule="auto"/>
        <w:rPr>
          <w:rFonts w:ascii="Trebuchet MS" w:eastAsia="Times New Roman" w:hAnsi="Trebuchet MS" w:cs="Times New Roman"/>
          <w:sz w:val="24"/>
          <w:szCs w:val="20"/>
          <w:lang w:eastAsia="de-DE"/>
        </w:rPr>
      </w:pPr>
    </w:p>
    <w:p w:rsidR="00EE14C5" w:rsidRDefault="00EE14C5" w:rsidP="00EE14C5">
      <w:pPr>
        <w:tabs>
          <w:tab w:val="left" w:pos="454"/>
          <w:tab w:val="left" w:pos="851"/>
        </w:tabs>
        <w:spacing w:line="360" w:lineRule="auto"/>
        <w:rPr>
          <w:rFonts w:ascii="Trebuchet MS" w:eastAsia="Times New Roman" w:hAnsi="Trebuchet MS" w:cs="Times New Roman"/>
          <w:sz w:val="24"/>
          <w:szCs w:val="20"/>
          <w:lang w:eastAsia="de-DE"/>
        </w:rPr>
      </w:pPr>
    </w:p>
    <w:p w:rsidR="00EE14C5" w:rsidRDefault="00EE14C5" w:rsidP="00EE14C5">
      <w:pPr>
        <w:tabs>
          <w:tab w:val="left" w:pos="454"/>
          <w:tab w:val="left" w:pos="851"/>
        </w:tabs>
        <w:spacing w:line="360" w:lineRule="auto"/>
        <w:rPr>
          <w:rFonts w:ascii="Trebuchet MS" w:eastAsia="Times New Roman" w:hAnsi="Trebuchet MS" w:cs="Times New Roman"/>
          <w:sz w:val="24"/>
          <w:szCs w:val="20"/>
          <w:lang w:eastAsia="de-DE"/>
        </w:rPr>
      </w:pPr>
    </w:p>
    <w:p w:rsidR="00EE14C5" w:rsidRPr="00EE14C5" w:rsidRDefault="00EE14C5" w:rsidP="00EE14C5">
      <w:pPr>
        <w:tabs>
          <w:tab w:val="left" w:pos="454"/>
          <w:tab w:val="left" w:pos="851"/>
        </w:tabs>
        <w:spacing w:line="360" w:lineRule="auto"/>
        <w:rPr>
          <w:rFonts w:ascii="Trebuchet MS" w:eastAsia="Times New Roman" w:hAnsi="Trebuchet MS" w:cs="Times New Roman"/>
          <w:sz w:val="24"/>
          <w:szCs w:val="20"/>
          <w:lang w:eastAsia="de-DE"/>
        </w:rPr>
      </w:pPr>
    </w:p>
    <w:p w:rsidR="00EE14C5" w:rsidRPr="00EE14C5" w:rsidRDefault="00EE14C5" w:rsidP="00EE14C5">
      <w:pPr>
        <w:tabs>
          <w:tab w:val="left" w:pos="454"/>
          <w:tab w:val="left" w:pos="851"/>
        </w:tabs>
        <w:spacing w:line="360" w:lineRule="auto"/>
        <w:jc w:val="center"/>
        <w:rPr>
          <w:rFonts w:ascii="Trebuchet MS" w:eastAsia="Times New Roman" w:hAnsi="Trebuchet MS" w:cs="Times New Roman"/>
          <w:b/>
          <w:sz w:val="36"/>
          <w:szCs w:val="36"/>
          <w:lang w:eastAsia="de-DE"/>
        </w:rPr>
      </w:pPr>
      <w:r w:rsidRPr="00EE14C5">
        <w:rPr>
          <w:rFonts w:ascii="Trebuchet MS" w:eastAsia="Times New Roman" w:hAnsi="Trebuchet MS" w:cs="Times New Roman"/>
          <w:b/>
          <w:sz w:val="36"/>
          <w:szCs w:val="36"/>
          <w:lang w:eastAsia="de-DE"/>
        </w:rPr>
        <w:t>Stellungnahme</w:t>
      </w:r>
    </w:p>
    <w:p w:rsidR="00EE14C5" w:rsidRPr="00EE14C5" w:rsidRDefault="00EE14C5" w:rsidP="00EE14C5">
      <w:pPr>
        <w:tabs>
          <w:tab w:val="left" w:pos="454"/>
          <w:tab w:val="left" w:pos="851"/>
        </w:tabs>
        <w:spacing w:line="360" w:lineRule="auto"/>
        <w:rPr>
          <w:rFonts w:ascii="Trebuchet MS" w:eastAsia="Times New Roman" w:hAnsi="Trebuchet MS" w:cs="Times New Roman"/>
          <w:b/>
          <w:sz w:val="27"/>
          <w:szCs w:val="27"/>
          <w:lang w:eastAsia="de-DE"/>
        </w:rPr>
      </w:pPr>
      <w:r w:rsidRPr="00EE14C5">
        <w:rPr>
          <w:rFonts w:ascii="Trebuchet MS" w:eastAsia="Times New Roman" w:hAnsi="Trebuchet MS" w:cs="Times New Roman"/>
          <w:b/>
          <w:sz w:val="27"/>
          <w:szCs w:val="27"/>
          <w:lang w:eastAsia="de-DE"/>
        </w:rPr>
        <w:t xml:space="preserve">der Bundesarbeitsgemeinschaft Selbsthilfe von Menschen mit </w:t>
      </w:r>
    </w:p>
    <w:p w:rsidR="00EE14C5" w:rsidRPr="00EE14C5" w:rsidRDefault="00EE14C5" w:rsidP="00EE14C5">
      <w:pPr>
        <w:tabs>
          <w:tab w:val="left" w:pos="454"/>
          <w:tab w:val="left" w:pos="851"/>
        </w:tabs>
        <w:spacing w:line="360" w:lineRule="auto"/>
        <w:rPr>
          <w:rFonts w:ascii="Trebuchet MS" w:eastAsia="Times New Roman" w:hAnsi="Trebuchet MS" w:cs="Times New Roman"/>
          <w:b/>
          <w:sz w:val="27"/>
          <w:szCs w:val="27"/>
          <w:lang w:eastAsia="de-DE"/>
        </w:rPr>
      </w:pPr>
      <w:r w:rsidRPr="00EE14C5">
        <w:rPr>
          <w:rFonts w:ascii="Trebuchet MS" w:eastAsia="Times New Roman" w:hAnsi="Trebuchet MS" w:cs="Times New Roman"/>
          <w:b/>
          <w:sz w:val="27"/>
          <w:szCs w:val="27"/>
          <w:lang w:eastAsia="de-DE"/>
        </w:rPr>
        <w:t xml:space="preserve">Behinderung und chronischer Erkrankung und ihren Angehörigen e. V. </w:t>
      </w:r>
    </w:p>
    <w:p w:rsidR="00EE14C5" w:rsidRPr="00EE14C5" w:rsidRDefault="00EE14C5" w:rsidP="00EE14C5">
      <w:pPr>
        <w:tabs>
          <w:tab w:val="left" w:pos="454"/>
          <w:tab w:val="left" w:pos="851"/>
        </w:tabs>
        <w:spacing w:line="360" w:lineRule="auto"/>
        <w:jc w:val="center"/>
        <w:rPr>
          <w:rFonts w:ascii="Trebuchet MS" w:eastAsia="Times New Roman" w:hAnsi="Trebuchet MS" w:cs="Times New Roman"/>
          <w:b/>
          <w:sz w:val="27"/>
          <w:szCs w:val="27"/>
          <w:lang w:eastAsia="de-DE"/>
        </w:rPr>
      </w:pPr>
      <w:r w:rsidRPr="00EE14C5">
        <w:rPr>
          <w:rFonts w:ascii="Trebuchet MS" w:eastAsia="Times New Roman" w:hAnsi="Trebuchet MS" w:cs="Times New Roman"/>
          <w:b/>
          <w:sz w:val="27"/>
          <w:szCs w:val="27"/>
          <w:lang w:eastAsia="de-DE"/>
        </w:rPr>
        <w:t>(BAG SELBSTHILFE)</w:t>
      </w:r>
    </w:p>
    <w:p w:rsidR="00EE14C5" w:rsidRPr="00EE14C5" w:rsidRDefault="00EE14C5" w:rsidP="00EE14C5">
      <w:pPr>
        <w:tabs>
          <w:tab w:val="left" w:pos="454"/>
          <w:tab w:val="left" w:pos="851"/>
        </w:tabs>
        <w:spacing w:line="360" w:lineRule="auto"/>
        <w:jc w:val="center"/>
        <w:rPr>
          <w:rFonts w:ascii="Trebuchet MS" w:eastAsia="Times New Roman" w:hAnsi="Trebuchet MS" w:cs="Times New Roman"/>
          <w:b/>
          <w:bCs/>
          <w:sz w:val="27"/>
          <w:szCs w:val="27"/>
          <w:lang w:eastAsia="de-DE"/>
        </w:rPr>
      </w:pPr>
    </w:p>
    <w:p w:rsidR="00EE14C5" w:rsidRPr="00EE14C5" w:rsidRDefault="00EE14C5" w:rsidP="00EE14C5">
      <w:pPr>
        <w:tabs>
          <w:tab w:val="left" w:pos="454"/>
          <w:tab w:val="left" w:pos="851"/>
        </w:tabs>
        <w:spacing w:line="360" w:lineRule="auto"/>
        <w:jc w:val="center"/>
        <w:rPr>
          <w:rFonts w:ascii="Trebuchet MS" w:eastAsia="Times New Roman" w:hAnsi="Trebuchet MS" w:cs="Times New Roman"/>
          <w:b/>
          <w:bCs/>
          <w:sz w:val="27"/>
          <w:szCs w:val="27"/>
          <w:lang w:eastAsia="de-DE"/>
        </w:rPr>
      </w:pPr>
      <w:r w:rsidRPr="00EE14C5">
        <w:rPr>
          <w:rFonts w:ascii="Trebuchet MS" w:eastAsia="Times New Roman" w:hAnsi="Trebuchet MS" w:cs="Times New Roman"/>
          <w:b/>
          <w:bCs/>
          <w:sz w:val="27"/>
          <w:szCs w:val="27"/>
          <w:lang w:eastAsia="de-DE"/>
        </w:rPr>
        <w:t>zur</w:t>
      </w:r>
    </w:p>
    <w:p w:rsidR="00EE14C5" w:rsidRPr="00EE14C5" w:rsidRDefault="00EE14C5" w:rsidP="00EE14C5">
      <w:pPr>
        <w:tabs>
          <w:tab w:val="left" w:pos="454"/>
          <w:tab w:val="left" w:pos="851"/>
        </w:tabs>
        <w:spacing w:line="360" w:lineRule="auto"/>
        <w:jc w:val="center"/>
        <w:rPr>
          <w:rFonts w:ascii="Trebuchet MS" w:eastAsia="Times New Roman" w:hAnsi="Trebuchet MS" w:cs="Times New Roman"/>
          <w:b/>
          <w:bCs/>
          <w:sz w:val="27"/>
          <w:szCs w:val="27"/>
          <w:lang w:eastAsia="de-DE"/>
        </w:rPr>
      </w:pPr>
    </w:p>
    <w:p w:rsidR="00EE14C5" w:rsidRPr="00EE14C5" w:rsidRDefault="00EE14C5" w:rsidP="00EE14C5">
      <w:pPr>
        <w:tabs>
          <w:tab w:val="left" w:pos="454"/>
          <w:tab w:val="left" w:pos="851"/>
        </w:tabs>
        <w:autoSpaceDE w:val="0"/>
        <w:autoSpaceDN w:val="0"/>
        <w:adjustRightInd w:val="0"/>
        <w:spacing w:line="360" w:lineRule="auto"/>
        <w:jc w:val="center"/>
        <w:rPr>
          <w:rFonts w:ascii="Trebuchet MS" w:hAnsi="Trebuchet MS"/>
          <w:b/>
          <w:sz w:val="27"/>
          <w:szCs w:val="27"/>
        </w:rPr>
      </w:pPr>
      <w:r w:rsidRPr="00EE14C5">
        <w:rPr>
          <w:rFonts w:ascii="Trebuchet MS" w:eastAsia="Times New Roman" w:hAnsi="Trebuchet MS" w:cs="Times New Roman"/>
          <w:b/>
          <w:sz w:val="27"/>
          <w:szCs w:val="27"/>
          <w:lang w:eastAsia="de-DE"/>
        </w:rPr>
        <w:t>Richtlinie</w:t>
      </w:r>
      <w:r w:rsidR="008958CD" w:rsidRPr="00EE14C5">
        <w:rPr>
          <w:rFonts w:ascii="Trebuchet MS" w:hAnsi="Trebuchet MS"/>
          <w:sz w:val="27"/>
          <w:szCs w:val="27"/>
        </w:rPr>
        <w:t xml:space="preserve"> </w:t>
      </w:r>
      <w:r w:rsidR="008958CD" w:rsidRPr="00EE14C5">
        <w:rPr>
          <w:rFonts w:ascii="Trebuchet MS" w:hAnsi="Trebuchet MS"/>
          <w:b/>
          <w:sz w:val="27"/>
          <w:szCs w:val="27"/>
        </w:rPr>
        <w:t xml:space="preserve">der Gendiagnostik-Kommission </w:t>
      </w:r>
    </w:p>
    <w:p w:rsidR="00EE14C5" w:rsidRPr="00EE14C5" w:rsidRDefault="00EE14C5" w:rsidP="00EE14C5">
      <w:pPr>
        <w:tabs>
          <w:tab w:val="left" w:pos="454"/>
          <w:tab w:val="left" w:pos="851"/>
        </w:tabs>
        <w:autoSpaceDE w:val="0"/>
        <w:autoSpaceDN w:val="0"/>
        <w:adjustRightInd w:val="0"/>
        <w:spacing w:line="360" w:lineRule="auto"/>
        <w:jc w:val="center"/>
        <w:rPr>
          <w:rFonts w:ascii="Trebuchet MS" w:hAnsi="Trebuchet MS"/>
          <w:b/>
          <w:sz w:val="27"/>
          <w:szCs w:val="27"/>
        </w:rPr>
      </w:pPr>
      <w:r w:rsidRPr="00EE14C5">
        <w:rPr>
          <w:rFonts w:ascii="Trebuchet MS" w:hAnsi="Trebuchet MS"/>
          <w:b/>
          <w:sz w:val="27"/>
          <w:szCs w:val="27"/>
        </w:rPr>
        <w:t>über die</w:t>
      </w:r>
      <w:r w:rsidR="008958CD" w:rsidRPr="00EE14C5">
        <w:rPr>
          <w:rFonts w:ascii="Trebuchet MS" w:hAnsi="Trebuchet MS"/>
          <w:b/>
          <w:sz w:val="27"/>
          <w:szCs w:val="27"/>
        </w:rPr>
        <w:t xml:space="preserve"> Anforderungen an die Qualifikation zur </w:t>
      </w:r>
    </w:p>
    <w:p w:rsidR="00EE14C5" w:rsidRPr="00EE14C5" w:rsidRDefault="008958CD" w:rsidP="00EE14C5">
      <w:pPr>
        <w:tabs>
          <w:tab w:val="left" w:pos="454"/>
          <w:tab w:val="left" w:pos="851"/>
        </w:tabs>
        <w:autoSpaceDE w:val="0"/>
        <w:autoSpaceDN w:val="0"/>
        <w:adjustRightInd w:val="0"/>
        <w:spacing w:line="360" w:lineRule="auto"/>
        <w:jc w:val="center"/>
        <w:rPr>
          <w:rFonts w:ascii="Trebuchet MS" w:hAnsi="Trebuchet MS"/>
          <w:b/>
          <w:sz w:val="27"/>
          <w:szCs w:val="27"/>
        </w:rPr>
      </w:pPr>
      <w:r w:rsidRPr="00EE14C5">
        <w:rPr>
          <w:rFonts w:ascii="Trebuchet MS" w:hAnsi="Trebuchet MS"/>
          <w:b/>
          <w:sz w:val="27"/>
          <w:szCs w:val="27"/>
        </w:rPr>
        <w:t xml:space="preserve">und Inhalte der genetischen Beratung </w:t>
      </w:r>
    </w:p>
    <w:p w:rsidR="008958CD" w:rsidRPr="00EE14C5" w:rsidRDefault="008958CD" w:rsidP="00EE14C5">
      <w:pPr>
        <w:tabs>
          <w:tab w:val="left" w:pos="454"/>
          <w:tab w:val="left" w:pos="851"/>
        </w:tabs>
        <w:autoSpaceDE w:val="0"/>
        <w:autoSpaceDN w:val="0"/>
        <w:adjustRightInd w:val="0"/>
        <w:spacing w:line="360" w:lineRule="auto"/>
        <w:jc w:val="center"/>
        <w:rPr>
          <w:rFonts w:ascii="Trebuchet MS" w:eastAsia="Times New Roman" w:hAnsi="Trebuchet MS" w:cs="Times New Roman"/>
          <w:b/>
          <w:sz w:val="27"/>
          <w:szCs w:val="27"/>
          <w:lang w:eastAsia="de-DE"/>
        </w:rPr>
      </w:pPr>
      <w:r w:rsidRPr="00EE14C5">
        <w:rPr>
          <w:rFonts w:ascii="Trebuchet MS" w:hAnsi="Trebuchet MS"/>
          <w:b/>
          <w:sz w:val="27"/>
          <w:szCs w:val="27"/>
        </w:rPr>
        <w:t>gemäß § 23 Abs. Nr. 2a und § 23 Abs. 2 Nr. 3 GenDG</w:t>
      </w:r>
    </w:p>
    <w:p w:rsidR="008958CD" w:rsidRPr="00B50BCD" w:rsidRDefault="008958CD">
      <w:pPr>
        <w:rPr>
          <w:rFonts w:ascii="Trebuchet MS" w:hAnsi="Trebuchet MS"/>
          <w:sz w:val="24"/>
          <w:szCs w:val="24"/>
        </w:rPr>
      </w:pPr>
    </w:p>
    <w:p w:rsidR="00EE14C5" w:rsidRPr="00B50BCD" w:rsidRDefault="00EE14C5">
      <w:pPr>
        <w:rPr>
          <w:rFonts w:ascii="Trebuchet MS" w:hAnsi="Trebuchet MS"/>
          <w:sz w:val="24"/>
          <w:szCs w:val="24"/>
        </w:rPr>
      </w:pPr>
    </w:p>
    <w:p w:rsidR="00EE14C5" w:rsidRPr="00B50BCD" w:rsidRDefault="00EE14C5">
      <w:pPr>
        <w:rPr>
          <w:rFonts w:ascii="Trebuchet MS" w:hAnsi="Trebuchet MS"/>
          <w:sz w:val="24"/>
          <w:szCs w:val="24"/>
        </w:rPr>
      </w:pPr>
    </w:p>
    <w:p w:rsidR="00EE14C5" w:rsidRPr="00B50BCD" w:rsidRDefault="00EE14C5">
      <w:pPr>
        <w:rPr>
          <w:rFonts w:ascii="Trebuchet MS" w:hAnsi="Trebuchet MS"/>
          <w:sz w:val="24"/>
          <w:szCs w:val="24"/>
        </w:rPr>
      </w:pPr>
    </w:p>
    <w:p w:rsidR="00EE14C5" w:rsidRPr="00B50BCD" w:rsidRDefault="00EE14C5">
      <w:pPr>
        <w:rPr>
          <w:rFonts w:ascii="Trebuchet MS" w:hAnsi="Trebuchet MS"/>
          <w:sz w:val="24"/>
          <w:szCs w:val="24"/>
        </w:rPr>
      </w:pPr>
    </w:p>
    <w:p w:rsidR="00EE14C5" w:rsidRPr="00B50BCD" w:rsidRDefault="00EE14C5">
      <w:pPr>
        <w:rPr>
          <w:rFonts w:ascii="Trebuchet MS" w:hAnsi="Trebuchet MS"/>
          <w:sz w:val="24"/>
          <w:szCs w:val="24"/>
        </w:rPr>
      </w:pPr>
    </w:p>
    <w:p w:rsidR="00EE14C5" w:rsidRPr="00B50BCD" w:rsidRDefault="00EE14C5">
      <w:pPr>
        <w:rPr>
          <w:rFonts w:ascii="Trebuchet MS" w:hAnsi="Trebuchet MS"/>
          <w:sz w:val="24"/>
          <w:szCs w:val="24"/>
        </w:rPr>
      </w:pPr>
    </w:p>
    <w:p w:rsidR="00EE14C5" w:rsidRPr="00B50BCD" w:rsidRDefault="00EE14C5">
      <w:pPr>
        <w:rPr>
          <w:rFonts w:ascii="Trebuchet MS" w:hAnsi="Trebuchet MS"/>
          <w:sz w:val="24"/>
          <w:szCs w:val="24"/>
        </w:rPr>
      </w:pPr>
    </w:p>
    <w:p w:rsidR="00EE14C5" w:rsidRPr="00B50BCD" w:rsidRDefault="00EE14C5">
      <w:pPr>
        <w:rPr>
          <w:rFonts w:ascii="Trebuchet MS" w:hAnsi="Trebuchet MS"/>
          <w:sz w:val="24"/>
          <w:szCs w:val="24"/>
        </w:rPr>
      </w:pPr>
    </w:p>
    <w:p w:rsidR="00EE14C5" w:rsidRPr="00B50BCD" w:rsidRDefault="00B50BCD">
      <w:pPr>
        <w:rPr>
          <w:rFonts w:ascii="Trebuchet MS" w:hAnsi="Trebuchet MS"/>
          <w:sz w:val="24"/>
          <w:szCs w:val="24"/>
        </w:rPr>
      </w:pPr>
      <w:r>
        <w:rPr>
          <w:rFonts w:ascii="Trebuchet MS" w:hAnsi="Trebuchet MS"/>
          <w:sz w:val="24"/>
          <w:szCs w:val="24"/>
        </w:rPr>
        <w:br/>
      </w:r>
      <w:r>
        <w:rPr>
          <w:rFonts w:ascii="Trebuchet MS" w:hAnsi="Trebuchet MS"/>
          <w:sz w:val="24"/>
          <w:szCs w:val="24"/>
        </w:rPr>
        <w:br/>
      </w:r>
      <w:r>
        <w:rPr>
          <w:rFonts w:ascii="Trebuchet MS" w:hAnsi="Trebuchet MS"/>
          <w:sz w:val="24"/>
          <w:szCs w:val="24"/>
        </w:rPr>
        <w:br/>
      </w:r>
      <w:r>
        <w:rPr>
          <w:rFonts w:ascii="Trebuchet MS" w:hAnsi="Trebuchet MS"/>
          <w:sz w:val="24"/>
          <w:szCs w:val="24"/>
        </w:rPr>
        <w:br/>
      </w:r>
    </w:p>
    <w:p w:rsidR="00EE14C5" w:rsidRPr="00B50BCD" w:rsidRDefault="007D35CF">
      <w:pPr>
        <w:rPr>
          <w:rFonts w:ascii="Trebuchet MS" w:hAnsi="Trebuchet MS"/>
          <w:sz w:val="24"/>
          <w:szCs w:val="24"/>
        </w:rPr>
      </w:pPr>
      <w:r w:rsidRPr="00B50BCD">
        <w:rPr>
          <w:rFonts w:ascii="Trebuchet MS" w:hAnsi="Trebuchet MS"/>
          <w:sz w:val="24"/>
          <w:szCs w:val="24"/>
        </w:rPr>
        <w:br/>
      </w:r>
      <w:r w:rsidRPr="00B50BCD">
        <w:rPr>
          <w:rFonts w:ascii="Trebuchet MS" w:hAnsi="Trebuchet MS"/>
          <w:sz w:val="24"/>
          <w:szCs w:val="24"/>
        </w:rPr>
        <w:br/>
      </w:r>
    </w:p>
    <w:p w:rsidR="008958CD" w:rsidRPr="00B50BCD" w:rsidRDefault="00B50BCD" w:rsidP="007D35CF">
      <w:pPr>
        <w:rPr>
          <w:rFonts w:ascii="Trebuchet MS" w:hAnsi="Trebuchet MS"/>
          <w:sz w:val="24"/>
          <w:szCs w:val="24"/>
        </w:rPr>
      </w:pPr>
      <w:r>
        <w:rPr>
          <w:rFonts w:ascii="Trebuchet MS" w:hAnsi="Trebuchet MS"/>
          <w:sz w:val="24"/>
          <w:szCs w:val="24"/>
        </w:rPr>
        <w:lastRenderedPageBreak/>
        <w:br/>
      </w:r>
    </w:p>
    <w:p w:rsidR="00FB6621" w:rsidRPr="007D35CF" w:rsidRDefault="008958CD" w:rsidP="007D35CF">
      <w:pPr>
        <w:pStyle w:val="Listenabsatz"/>
        <w:numPr>
          <w:ilvl w:val="0"/>
          <w:numId w:val="4"/>
        </w:numPr>
        <w:rPr>
          <w:rFonts w:ascii="Trebuchet MS" w:hAnsi="Trebuchet MS"/>
          <w:sz w:val="24"/>
          <w:szCs w:val="24"/>
        </w:rPr>
      </w:pPr>
      <w:r w:rsidRPr="007D35CF">
        <w:rPr>
          <w:rFonts w:ascii="Trebuchet MS" w:hAnsi="Trebuchet MS"/>
          <w:sz w:val="24"/>
          <w:szCs w:val="24"/>
        </w:rPr>
        <w:t xml:space="preserve">Die BAG SELBSTHILFE teilt die Ausführungen der Richtlinie zur Bedeutung genetischer Beratung und zum Unterschied zwischen genetischer Beratung und Aufklärung. </w:t>
      </w:r>
      <w:r w:rsidR="00FB6621" w:rsidRPr="007D35CF">
        <w:rPr>
          <w:rFonts w:ascii="Trebuchet MS" w:hAnsi="Trebuchet MS"/>
          <w:sz w:val="24"/>
          <w:szCs w:val="24"/>
        </w:rPr>
        <w:br/>
      </w:r>
      <w:r w:rsidRPr="007D35CF">
        <w:rPr>
          <w:rFonts w:ascii="Trebuchet MS" w:hAnsi="Trebuchet MS"/>
          <w:sz w:val="24"/>
          <w:szCs w:val="24"/>
        </w:rPr>
        <w:t>Es sollte aber klarer herausgestellt werden, dass Sinn und Zweck der Ber</w:t>
      </w:r>
      <w:r w:rsidRPr="007D35CF">
        <w:rPr>
          <w:rFonts w:ascii="Trebuchet MS" w:hAnsi="Trebuchet MS"/>
          <w:sz w:val="24"/>
          <w:szCs w:val="24"/>
        </w:rPr>
        <w:t>a</w:t>
      </w:r>
      <w:r w:rsidRPr="007D35CF">
        <w:rPr>
          <w:rFonts w:ascii="Trebuchet MS" w:hAnsi="Trebuchet MS"/>
          <w:sz w:val="24"/>
          <w:szCs w:val="24"/>
        </w:rPr>
        <w:t xml:space="preserve">tung immer auch davon abhängen, ob eine Beratung auch zu Konsequenzen im Entscheidungsverhalten der Patientinnen und Patienten führen werden. </w:t>
      </w:r>
      <w:r w:rsidR="00FB6621" w:rsidRPr="007D35CF">
        <w:rPr>
          <w:rFonts w:ascii="Trebuchet MS" w:hAnsi="Trebuchet MS"/>
          <w:sz w:val="24"/>
          <w:szCs w:val="24"/>
        </w:rPr>
        <w:br/>
      </w:r>
      <w:r w:rsidRPr="007D35CF">
        <w:rPr>
          <w:rFonts w:ascii="Trebuchet MS" w:hAnsi="Trebuchet MS"/>
          <w:sz w:val="24"/>
          <w:szCs w:val="24"/>
        </w:rPr>
        <w:t>So gibt es Erkrankungen mit genetisch bedingten Ursachen wie die Psoriasis, die für die Frage des Kinderwunsches unerheblich sind. Auch eine vorgebur</w:t>
      </w:r>
      <w:r w:rsidRPr="007D35CF">
        <w:rPr>
          <w:rFonts w:ascii="Trebuchet MS" w:hAnsi="Trebuchet MS"/>
          <w:sz w:val="24"/>
          <w:szCs w:val="24"/>
        </w:rPr>
        <w:t>t</w:t>
      </w:r>
      <w:r w:rsidRPr="007D35CF">
        <w:rPr>
          <w:rFonts w:ascii="Trebuchet MS" w:hAnsi="Trebuchet MS"/>
          <w:sz w:val="24"/>
          <w:szCs w:val="24"/>
        </w:rPr>
        <w:t>liche Diagnostik zur Be</w:t>
      </w:r>
      <w:r w:rsidR="00F04229">
        <w:rPr>
          <w:rFonts w:ascii="Trebuchet MS" w:hAnsi="Trebuchet MS"/>
          <w:sz w:val="24"/>
          <w:szCs w:val="24"/>
        </w:rPr>
        <w:t>stimm</w:t>
      </w:r>
      <w:r w:rsidRPr="007D35CF">
        <w:rPr>
          <w:rFonts w:ascii="Trebuchet MS" w:hAnsi="Trebuchet MS"/>
          <w:sz w:val="24"/>
          <w:szCs w:val="24"/>
        </w:rPr>
        <w:t>ung einer wahrscheinlichen Alzheimer-Erkrankung ist aus Sicht de</w:t>
      </w:r>
      <w:r w:rsidR="00EE14C5" w:rsidRPr="007D35CF">
        <w:rPr>
          <w:rFonts w:ascii="Trebuchet MS" w:hAnsi="Trebuchet MS"/>
          <w:sz w:val="24"/>
          <w:szCs w:val="24"/>
        </w:rPr>
        <w:t>r BAG SELBSTHILFE bspw. abzuleh</w:t>
      </w:r>
      <w:r w:rsidRPr="007D35CF">
        <w:rPr>
          <w:rFonts w:ascii="Trebuchet MS" w:hAnsi="Trebuchet MS"/>
          <w:sz w:val="24"/>
          <w:szCs w:val="24"/>
        </w:rPr>
        <w:t xml:space="preserve">nen. </w:t>
      </w:r>
      <w:r w:rsidR="00FB6621" w:rsidRPr="007D35CF">
        <w:rPr>
          <w:rFonts w:ascii="Trebuchet MS" w:hAnsi="Trebuchet MS"/>
          <w:sz w:val="24"/>
          <w:szCs w:val="24"/>
        </w:rPr>
        <w:br/>
      </w:r>
      <w:bookmarkStart w:id="0" w:name="_GoBack"/>
      <w:bookmarkEnd w:id="0"/>
      <w:r w:rsidR="00FB6621" w:rsidRPr="007D35CF">
        <w:rPr>
          <w:rFonts w:ascii="Trebuchet MS" w:hAnsi="Trebuchet MS"/>
          <w:sz w:val="24"/>
          <w:szCs w:val="24"/>
        </w:rPr>
        <w:br/>
      </w:r>
    </w:p>
    <w:p w:rsidR="00FB6621" w:rsidRPr="007D35CF" w:rsidRDefault="008958CD" w:rsidP="007D35CF">
      <w:pPr>
        <w:pStyle w:val="Listenabsatz"/>
        <w:numPr>
          <w:ilvl w:val="0"/>
          <w:numId w:val="4"/>
        </w:numPr>
        <w:rPr>
          <w:rFonts w:ascii="Trebuchet MS" w:hAnsi="Trebuchet MS"/>
          <w:sz w:val="24"/>
          <w:szCs w:val="24"/>
        </w:rPr>
      </w:pPr>
      <w:r w:rsidRPr="007D35CF">
        <w:rPr>
          <w:rFonts w:ascii="Trebuchet MS" w:hAnsi="Trebuchet MS"/>
          <w:sz w:val="24"/>
          <w:szCs w:val="24"/>
        </w:rPr>
        <w:t xml:space="preserve">Aus Sicht der BAG SELBSTHILFE ist es zu begrüßen, dass in der Richtlinie klargestellt wird, dass auf die Beratung auch verzichtet werden kann. Es fehlt jedoch der </w:t>
      </w:r>
      <w:r w:rsidR="0089455B" w:rsidRPr="007D35CF">
        <w:rPr>
          <w:rFonts w:ascii="Trebuchet MS" w:hAnsi="Trebuchet MS"/>
          <w:sz w:val="24"/>
          <w:szCs w:val="24"/>
        </w:rPr>
        <w:t xml:space="preserve">Hinweis, dass vor der Beratung auch das Angebot gemacht werden muss, einen Angehörigen oder eine sonst nahestehende Person zur Beratung hinzuziehen. </w:t>
      </w:r>
      <w:r w:rsidR="00FB6621" w:rsidRPr="007D35CF">
        <w:rPr>
          <w:rFonts w:ascii="Trebuchet MS" w:hAnsi="Trebuchet MS"/>
          <w:sz w:val="24"/>
          <w:szCs w:val="24"/>
        </w:rPr>
        <w:br/>
      </w:r>
      <w:r w:rsidR="00FB6621" w:rsidRPr="007D35CF">
        <w:rPr>
          <w:rFonts w:ascii="Trebuchet MS" w:hAnsi="Trebuchet MS"/>
          <w:sz w:val="24"/>
          <w:szCs w:val="24"/>
        </w:rPr>
        <w:br/>
      </w:r>
    </w:p>
    <w:p w:rsidR="00FB6621" w:rsidRPr="007D35CF" w:rsidRDefault="006E689D" w:rsidP="007D35CF">
      <w:pPr>
        <w:pStyle w:val="Listenabsatz"/>
        <w:numPr>
          <w:ilvl w:val="0"/>
          <w:numId w:val="4"/>
        </w:numPr>
        <w:rPr>
          <w:rFonts w:ascii="Trebuchet MS" w:hAnsi="Trebuchet MS"/>
          <w:sz w:val="24"/>
          <w:szCs w:val="24"/>
        </w:rPr>
      </w:pPr>
      <w:r w:rsidRPr="007D35CF">
        <w:rPr>
          <w:rFonts w:ascii="Trebuchet MS" w:hAnsi="Trebuchet MS"/>
          <w:sz w:val="24"/>
          <w:szCs w:val="24"/>
        </w:rPr>
        <w:t>Die BAG SELBSTHILFE teilt die Ausführungen der Richtlinie zum Arztvorb</w:t>
      </w:r>
      <w:r w:rsidRPr="007D35CF">
        <w:rPr>
          <w:rFonts w:ascii="Trebuchet MS" w:hAnsi="Trebuchet MS"/>
          <w:sz w:val="24"/>
          <w:szCs w:val="24"/>
        </w:rPr>
        <w:t>e</w:t>
      </w:r>
      <w:r w:rsidRPr="007D35CF">
        <w:rPr>
          <w:rFonts w:ascii="Trebuchet MS" w:hAnsi="Trebuchet MS"/>
          <w:sz w:val="24"/>
          <w:szCs w:val="24"/>
        </w:rPr>
        <w:t xml:space="preserve">halt. </w:t>
      </w:r>
      <w:r w:rsidR="00FB6621" w:rsidRPr="007D35CF">
        <w:rPr>
          <w:rFonts w:ascii="Trebuchet MS" w:hAnsi="Trebuchet MS"/>
          <w:sz w:val="24"/>
          <w:szCs w:val="24"/>
        </w:rPr>
        <w:br/>
      </w:r>
      <w:r w:rsidRPr="007D35CF">
        <w:rPr>
          <w:rFonts w:ascii="Trebuchet MS" w:hAnsi="Trebuchet MS"/>
          <w:sz w:val="24"/>
          <w:szCs w:val="24"/>
        </w:rPr>
        <w:t>Wichtig ist jedoch bei der Qualifizierung der beratenden Ärztinnen und Är</w:t>
      </w:r>
      <w:r w:rsidRPr="007D35CF">
        <w:rPr>
          <w:rFonts w:ascii="Trebuchet MS" w:hAnsi="Trebuchet MS"/>
          <w:sz w:val="24"/>
          <w:szCs w:val="24"/>
        </w:rPr>
        <w:t>z</w:t>
      </w:r>
      <w:r w:rsidRPr="007D35CF">
        <w:rPr>
          <w:rFonts w:ascii="Trebuchet MS" w:hAnsi="Trebuchet MS"/>
          <w:sz w:val="24"/>
          <w:szCs w:val="24"/>
        </w:rPr>
        <w:t>te, dass eine Schulung erfolgt, wie die Beratung bedarfsgerecht</w:t>
      </w:r>
      <w:r w:rsidR="00D007BE">
        <w:rPr>
          <w:rFonts w:ascii="Trebuchet MS" w:hAnsi="Trebuchet MS"/>
          <w:sz w:val="24"/>
          <w:szCs w:val="24"/>
        </w:rPr>
        <w:t>,</w:t>
      </w:r>
      <w:r w:rsidRPr="007D35CF">
        <w:rPr>
          <w:rFonts w:ascii="Trebuchet MS" w:hAnsi="Trebuchet MS"/>
          <w:sz w:val="24"/>
          <w:szCs w:val="24"/>
        </w:rPr>
        <w:t xml:space="preserve"> ergebniso</w:t>
      </w:r>
      <w:r w:rsidRPr="007D35CF">
        <w:rPr>
          <w:rFonts w:ascii="Trebuchet MS" w:hAnsi="Trebuchet MS"/>
          <w:sz w:val="24"/>
          <w:szCs w:val="24"/>
        </w:rPr>
        <w:t>f</w:t>
      </w:r>
      <w:r w:rsidRPr="007D35CF">
        <w:rPr>
          <w:rFonts w:ascii="Trebuchet MS" w:hAnsi="Trebuchet MS"/>
          <w:sz w:val="24"/>
          <w:szCs w:val="24"/>
        </w:rPr>
        <w:t xml:space="preserve">fen und laienverständlich erfolgen kann. </w:t>
      </w:r>
      <w:r w:rsidR="00FB6621" w:rsidRPr="007D35CF">
        <w:rPr>
          <w:rFonts w:ascii="Trebuchet MS" w:hAnsi="Trebuchet MS"/>
          <w:sz w:val="24"/>
          <w:szCs w:val="24"/>
        </w:rPr>
        <w:br/>
      </w:r>
      <w:r w:rsidRPr="007D35CF">
        <w:rPr>
          <w:rFonts w:ascii="Trebuchet MS" w:hAnsi="Trebuchet MS"/>
          <w:sz w:val="24"/>
          <w:szCs w:val="24"/>
        </w:rPr>
        <w:t xml:space="preserve">Dies ist eine hohe Anforderung, wenn man bedenkt, dass die eigentlichen Untersuchungsergebnisse in der Beratungssituation (noch) nicht vorliegen. </w:t>
      </w:r>
      <w:r w:rsidR="00FB6621" w:rsidRPr="007D35CF">
        <w:rPr>
          <w:rFonts w:ascii="Trebuchet MS" w:hAnsi="Trebuchet MS"/>
          <w:sz w:val="24"/>
          <w:szCs w:val="24"/>
        </w:rPr>
        <w:br/>
      </w:r>
      <w:r w:rsidR="00FB6621" w:rsidRPr="007D35CF">
        <w:rPr>
          <w:rFonts w:ascii="Trebuchet MS" w:hAnsi="Trebuchet MS"/>
          <w:sz w:val="24"/>
          <w:szCs w:val="24"/>
        </w:rPr>
        <w:br/>
      </w:r>
      <w:r w:rsidR="00841895" w:rsidRPr="007D35CF">
        <w:rPr>
          <w:rFonts w:ascii="Trebuchet MS" w:hAnsi="Trebuchet MS"/>
          <w:sz w:val="24"/>
          <w:szCs w:val="24"/>
        </w:rPr>
        <w:t xml:space="preserve">Auf leichte Sprache muss geachtet werden. </w:t>
      </w:r>
      <w:r w:rsidR="00FB6621" w:rsidRPr="007D35CF">
        <w:rPr>
          <w:rFonts w:ascii="Trebuchet MS" w:hAnsi="Trebuchet MS"/>
          <w:sz w:val="24"/>
          <w:szCs w:val="24"/>
        </w:rPr>
        <w:br/>
      </w:r>
      <w:r w:rsidR="00FB6621" w:rsidRPr="007D35CF">
        <w:rPr>
          <w:rFonts w:ascii="Trebuchet MS" w:hAnsi="Trebuchet MS"/>
          <w:sz w:val="24"/>
          <w:szCs w:val="24"/>
        </w:rPr>
        <w:br/>
      </w:r>
      <w:r w:rsidR="00841895" w:rsidRPr="007D35CF">
        <w:rPr>
          <w:rFonts w:ascii="Trebuchet MS" w:hAnsi="Trebuchet MS"/>
          <w:sz w:val="24"/>
          <w:szCs w:val="24"/>
        </w:rPr>
        <w:t>Die Vermittlung medizinisch-genetischer Fakten muss auch für sinnesbehi</w:t>
      </w:r>
      <w:r w:rsidR="00841895" w:rsidRPr="007D35CF">
        <w:rPr>
          <w:rFonts w:ascii="Trebuchet MS" w:hAnsi="Trebuchet MS"/>
          <w:sz w:val="24"/>
          <w:szCs w:val="24"/>
        </w:rPr>
        <w:t>n</w:t>
      </w:r>
      <w:r w:rsidR="00841895" w:rsidRPr="007D35CF">
        <w:rPr>
          <w:rFonts w:ascii="Trebuchet MS" w:hAnsi="Trebuchet MS"/>
          <w:sz w:val="24"/>
          <w:szCs w:val="24"/>
        </w:rPr>
        <w:t>derte Menschen barrierefrei ermöglicht w</w:t>
      </w:r>
      <w:r w:rsidR="00EE14C5" w:rsidRPr="007D35CF">
        <w:rPr>
          <w:rFonts w:ascii="Trebuchet MS" w:hAnsi="Trebuchet MS"/>
          <w:sz w:val="24"/>
          <w:szCs w:val="24"/>
        </w:rPr>
        <w:t>erden (z.B. Kosten für Gebärde</w:t>
      </w:r>
      <w:r w:rsidR="00EE14C5" w:rsidRPr="007D35CF">
        <w:rPr>
          <w:rFonts w:ascii="Trebuchet MS" w:hAnsi="Trebuchet MS"/>
          <w:sz w:val="24"/>
          <w:szCs w:val="24"/>
        </w:rPr>
        <w:t>n</w:t>
      </w:r>
      <w:r w:rsidR="00841895" w:rsidRPr="007D35CF">
        <w:rPr>
          <w:rFonts w:ascii="Trebuchet MS" w:hAnsi="Trebuchet MS"/>
          <w:sz w:val="24"/>
          <w:szCs w:val="24"/>
        </w:rPr>
        <w:t xml:space="preserve">dolmetscherInnen). Dies gilt natürlich auch für die Dokumentation und deren Zurverfügungstellung. </w:t>
      </w:r>
      <w:r w:rsidR="00FB6621" w:rsidRPr="007D35CF">
        <w:rPr>
          <w:rFonts w:ascii="Trebuchet MS" w:hAnsi="Trebuchet MS"/>
          <w:sz w:val="24"/>
          <w:szCs w:val="24"/>
        </w:rPr>
        <w:br/>
      </w:r>
      <w:r w:rsidR="00FB6621" w:rsidRPr="007D35CF">
        <w:rPr>
          <w:rFonts w:ascii="Trebuchet MS" w:hAnsi="Trebuchet MS"/>
          <w:sz w:val="24"/>
          <w:szCs w:val="24"/>
        </w:rPr>
        <w:br/>
      </w:r>
      <w:r w:rsidR="00841895" w:rsidRPr="007D35CF">
        <w:rPr>
          <w:rFonts w:ascii="Trebuchet MS" w:hAnsi="Trebuchet MS"/>
          <w:sz w:val="24"/>
          <w:szCs w:val="24"/>
        </w:rPr>
        <w:t xml:space="preserve">Die Konfliktlagen für behinderte Frauen müssen besondere Berücksichtigung finden. Es muss sichergestellt sein, dass die Untersuchung freiwillig bleibt und keine Verpflichtung darstellt. </w:t>
      </w:r>
      <w:r w:rsidR="00FB6621" w:rsidRPr="007D35CF">
        <w:rPr>
          <w:rFonts w:ascii="Trebuchet MS" w:hAnsi="Trebuchet MS"/>
          <w:sz w:val="24"/>
          <w:szCs w:val="24"/>
        </w:rPr>
        <w:br/>
      </w:r>
      <w:r w:rsidR="00FB6621" w:rsidRPr="007D35CF">
        <w:rPr>
          <w:rFonts w:ascii="Trebuchet MS" w:hAnsi="Trebuchet MS"/>
          <w:sz w:val="24"/>
          <w:szCs w:val="24"/>
        </w:rPr>
        <w:br/>
      </w:r>
      <w:r w:rsidR="00841895" w:rsidRPr="007D35CF">
        <w:rPr>
          <w:rFonts w:ascii="Trebuchet MS" w:hAnsi="Trebuchet MS"/>
          <w:sz w:val="24"/>
          <w:szCs w:val="24"/>
        </w:rPr>
        <w:t>Auch für lern- und geistig behinderte Menschen muss verständlich sein, dass die Beratung ergebnisoffen ist und Entscheidungsalternativen unbedingt ve</w:t>
      </w:r>
      <w:r w:rsidR="00841895" w:rsidRPr="007D35CF">
        <w:rPr>
          <w:rFonts w:ascii="Trebuchet MS" w:hAnsi="Trebuchet MS"/>
          <w:sz w:val="24"/>
          <w:szCs w:val="24"/>
        </w:rPr>
        <w:t>r</w:t>
      </w:r>
      <w:r w:rsidR="00841895" w:rsidRPr="007D35CF">
        <w:rPr>
          <w:rFonts w:ascii="Trebuchet MS" w:hAnsi="Trebuchet MS"/>
          <w:sz w:val="24"/>
          <w:szCs w:val="24"/>
        </w:rPr>
        <w:t xml:space="preserve">bleiben. Auch für sie muss ein Recht auf informationelle Selbstbestimmung gewährleistet sein. </w:t>
      </w:r>
      <w:r w:rsidR="007D35CF">
        <w:rPr>
          <w:rFonts w:ascii="Trebuchet MS" w:hAnsi="Trebuchet MS"/>
          <w:sz w:val="24"/>
          <w:szCs w:val="24"/>
        </w:rPr>
        <w:br/>
      </w:r>
      <w:r w:rsidR="007D35CF">
        <w:rPr>
          <w:rFonts w:ascii="Trebuchet MS" w:hAnsi="Trebuchet MS"/>
          <w:sz w:val="24"/>
          <w:szCs w:val="24"/>
        </w:rPr>
        <w:br/>
      </w:r>
      <w:r w:rsidR="007D35CF">
        <w:rPr>
          <w:rFonts w:ascii="Trebuchet MS" w:hAnsi="Trebuchet MS"/>
          <w:sz w:val="24"/>
          <w:szCs w:val="24"/>
        </w:rPr>
        <w:br/>
      </w:r>
      <w:r w:rsidR="007D35CF">
        <w:rPr>
          <w:rFonts w:ascii="Trebuchet MS" w:hAnsi="Trebuchet MS"/>
          <w:sz w:val="24"/>
          <w:szCs w:val="24"/>
        </w:rPr>
        <w:lastRenderedPageBreak/>
        <w:br/>
      </w:r>
      <w:r w:rsidR="007D35CF" w:rsidRPr="007D35CF">
        <w:rPr>
          <w:rFonts w:ascii="Trebuchet MS" w:hAnsi="Trebuchet MS"/>
          <w:sz w:val="24"/>
          <w:szCs w:val="24"/>
        </w:rPr>
        <w:br/>
      </w:r>
      <w:r w:rsidR="00841895" w:rsidRPr="007D35CF">
        <w:rPr>
          <w:rFonts w:ascii="Trebuchet MS" w:hAnsi="Trebuchet MS"/>
          <w:sz w:val="24"/>
          <w:szCs w:val="24"/>
        </w:rPr>
        <w:t>In diesem Zusammenhang ist es begrüßenswert, dass in den Richtlinien in V. „Inhalte der genetischen Beratung“ (S. 5) Unterstützungsmöglichkeiten bei psychischen und physischen Belastungen angeboten werden und insbesond</w:t>
      </w:r>
      <w:r w:rsidR="00841895" w:rsidRPr="007D35CF">
        <w:rPr>
          <w:rFonts w:ascii="Trebuchet MS" w:hAnsi="Trebuchet MS"/>
          <w:sz w:val="24"/>
          <w:szCs w:val="24"/>
        </w:rPr>
        <w:t>e</w:t>
      </w:r>
      <w:r w:rsidR="00841895" w:rsidRPr="007D35CF">
        <w:rPr>
          <w:rFonts w:ascii="Trebuchet MS" w:hAnsi="Trebuchet MS"/>
          <w:sz w:val="24"/>
          <w:szCs w:val="24"/>
        </w:rPr>
        <w:t xml:space="preserve">re auf für die Fragestellung relevante Selbsthilfeorganisationen hingewiesen wird sowie Kontakte vermittelt werden. </w:t>
      </w:r>
      <w:r w:rsidR="00FB6621" w:rsidRPr="007D35CF">
        <w:rPr>
          <w:rFonts w:ascii="Trebuchet MS" w:hAnsi="Trebuchet MS"/>
          <w:sz w:val="24"/>
          <w:szCs w:val="24"/>
        </w:rPr>
        <w:br/>
      </w:r>
      <w:r w:rsidR="00FB6621" w:rsidRPr="007D35CF">
        <w:rPr>
          <w:rFonts w:ascii="Trebuchet MS" w:hAnsi="Trebuchet MS"/>
          <w:sz w:val="24"/>
          <w:szCs w:val="24"/>
        </w:rPr>
        <w:br/>
      </w:r>
      <w:r w:rsidR="00841895" w:rsidRPr="007D35CF">
        <w:rPr>
          <w:rFonts w:ascii="Trebuchet MS" w:hAnsi="Trebuchet MS"/>
          <w:sz w:val="24"/>
          <w:szCs w:val="24"/>
        </w:rPr>
        <w:t>Gleiches gilt für VI.3.2 (S. 8) Beratung nach erfolgter vorgeburtlicher genet</w:t>
      </w:r>
      <w:r w:rsidR="00841895" w:rsidRPr="007D35CF">
        <w:rPr>
          <w:rFonts w:ascii="Trebuchet MS" w:hAnsi="Trebuchet MS"/>
          <w:sz w:val="24"/>
          <w:szCs w:val="24"/>
        </w:rPr>
        <w:t>i</w:t>
      </w:r>
      <w:r w:rsidR="00841895" w:rsidRPr="007D35CF">
        <w:rPr>
          <w:rFonts w:ascii="Trebuchet MS" w:hAnsi="Trebuchet MS"/>
          <w:sz w:val="24"/>
          <w:szCs w:val="24"/>
        </w:rPr>
        <w:t>scher Untersuchung für die vertiefende psychosoziale Beratung nach § 2 Schwangerschaftskonfliktgesetz und die Vermittlung zu Betroffenen und i</w:t>
      </w:r>
      <w:r w:rsidR="00841895" w:rsidRPr="007D35CF">
        <w:rPr>
          <w:rFonts w:ascii="Trebuchet MS" w:hAnsi="Trebuchet MS"/>
          <w:sz w:val="24"/>
          <w:szCs w:val="24"/>
        </w:rPr>
        <w:t>h</w:t>
      </w:r>
      <w:r w:rsidR="00841895" w:rsidRPr="007D35CF">
        <w:rPr>
          <w:rFonts w:ascii="Trebuchet MS" w:hAnsi="Trebuchet MS"/>
          <w:sz w:val="24"/>
          <w:szCs w:val="24"/>
        </w:rPr>
        <w:t xml:space="preserve">ren Verbänden. </w:t>
      </w:r>
      <w:r w:rsidR="00FB6621" w:rsidRPr="007D35CF">
        <w:rPr>
          <w:rFonts w:ascii="Trebuchet MS" w:hAnsi="Trebuchet MS"/>
          <w:sz w:val="24"/>
          <w:szCs w:val="24"/>
        </w:rPr>
        <w:br/>
      </w:r>
      <w:r w:rsidR="00FB6621" w:rsidRPr="007D35CF">
        <w:rPr>
          <w:rFonts w:ascii="Trebuchet MS" w:hAnsi="Trebuchet MS"/>
          <w:sz w:val="24"/>
          <w:szCs w:val="24"/>
        </w:rPr>
        <w:br/>
      </w:r>
      <w:r w:rsidR="00841895" w:rsidRPr="007D35CF">
        <w:rPr>
          <w:rFonts w:ascii="Trebuchet MS" w:hAnsi="Trebuchet MS"/>
          <w:sz w:val="24"/>
          <w:szCs w:val="24"/>
        </w:rPr>
        <w:t>Insbesondere die Kontakte zu den Betroffenen und ihren Verbänden sollten schon im Rahmen der erforderlichen Qualifizierungsmaßnahmen aufgebaut werden. Die BAG SELBSTHILFE steht hier als Ansprechpartnerin zur Vermit</w:t>
      </w:r>
      <w:r w:rsidR="00841895" w:rsidRPr="007D35CF">
        <w:rPr>
          <w:rFonts w:ascii="Trebuchet MS" w:hAnsi="Trebuchet MS"/>
          <w:sz w:val="24"/>
          <w:szCs w:val="24"/>
        </w:rPr>
        <w:t>t</w:t>
      </w:r>
      <w:r w:rsidR="00841895" w:rsidRPr="007D35CF">
        <w:rPr>
          <w:rFonts w:ascii="Trebuchet MS" w:hAnsi="Trebuchet MS"/>
          <w:sz w:val="24"/>
          <w:szCs w:val="24"/>
        </w:rPr>
        <w:t xml:space="preserve">lung von Kontakten zur Verfügung. </w:t>
      </w:r>
      <w:r w:rsidR="00FB6621" w:rsidRPr="007D35CF">
        <w:rPr>
          <w:rFonts w:ascii="Trebuchet MS" w:hAnsi="Trebuchet MS"/>
          <w:sz w:val="24"/>
          <w:szCs w:val="24"/>
        </w:rPr>
        <w:br/>
      </w:r>
      <w:r w:rsidR="00FB6621" w:rsidRPr="007D35CF">
        <w:rPr>
          <w:rFonts w:ascii="Trebuchet MS" w:hAnsi="Trebuchet MS"/>
          <w:sz w:val="24"/>
          <w:szCs w:val="24"/>
        </w:rPr>
        <w:br/>
      </w:r>
    </w:p>
    <w:p w:rsidR="00FB6621" w:rsidRPr="007D35CF" w:rsidRDefault="00841895" w:rsidP="007D35CF">
      <w:pPr>
        <w:pStyle w:val="Listenabsatz"/>
        <w:numPr>
          <w:ilvl w:val="0"/>
          <w:numId w:val="4"/>
        </w:numPr>
        <w:rPr>
          <w:rFonts w:ascii="Trebuchet MS" w:hAnsi="Trebuchet MS"/>
          <w:sz w:val="24"/>
          <w:szCs w:val="24"/>
        </w:rPr>
      </w:pPr>
      <w:r w:rsidRPr="007D35CF">
        <w:rPr>
          <w:rFonts w:ascii="Trebuchet MS" w:hAnsi="Trebuchet MS"/>
          <w:sz w:val="24"/>
          <w:szCs w:val="24"/>
        </w:rPr>
        <w:t xml:space="preserve">Aus Sicht der BAG SELBSTHILFE ist es zu begrüßen, dass in der Richtlinie klargestellt wird, dass sich die Inhalte der Beratung an den Bedürfnissen der ratsuchenden Person zu orientieren haben. </w:t>
      </w:r>
      <w:r w:rsidR="00FB6621" w:rsidRPr="007D35CF">
        <w:rPr>
          <w:rFonts w:ascii="Trebuchet MS" w:hAnsi="Trebuchet MS"/>
          <w:sz w:val="24"/>
          <w:szCs w:val="24"/>
        </w:rPr>
        <w:br/>
      </w:r>
      <w:r w:rsidR="00FB6621" w:rsidRPr="007D35CF">
        <w:rPr>
          <w:rFonts w:ascii="Trebuchet MS" w:hAnsi="Trebuchet MS"/>
          <w:sz w:val="24"/>
          <w:szCs w:val="24"/>
        </w:rPr>
        <w:br/>
      </w:r>
      <w:r w:rsidRPr="007D35CF">
        <w:rPr>
          <w:rFonts w:ascii="Trebuchet MS" w:hAnsi="Trebuchet MS"/>
          <w:sz w:val="24"/>
          <w:szCs w:val="24"/>
        </w:rPr>
        <w:t>Im Hinblick auf die Inhalte zur Beratung vor einer prädiktiven Untersuchung fehlt bislang in der Richtlinie der Hinweis auf die Beratung über den Nutzen einer solchen Untersuchung. Es muss in jedem Fall darüber informiert we</w:t>
      </w:r>
      <w:r w:rsidRPr="007D35CF">
        <w:rPr>
          <w:rFonts w:ascii="Trebuchet MS" w:hAnsi="Trebuchet MS"/>
          <w:sz w:val="24"/>
          <w:szCs w:val="24"/>
        </w:rPr>
        <w:t>r</w:t>
      </w:r>
      <w:r w:rsidRPr="007D35CF">
        <w:rPr>
          <w:rFonts w:ascii="Trebuchet MS" w:hAnsi="Trebuchet MS"/>
          <w:sz w:val="24"/>
          <w:szCs w:val="24"/>
        </w:rPr>
        <w:t xml:space="preserve">den, ob ein Nutzen bspw. in Form von zur Verfügung stehenden Therapien </w:t>
      </w:r>
      <w:r w:rsidR="00945BC8" w:rsidRPr="007D35CF">
        <w:rPr>
          <w:rFonts w:ascii="Trebuchet MS" w:hAnsi="Trebuchet MS"/>
          <w:sz w:val="24"/>
          <w:szCs w:val="24"/>
        </w:rPr>
        <w:t xml:space="preserve">zur Verfügung steht. </w:t>
      </w:r>
      <w:r w:rsidR="00FB6621" w:rsidRPr="007D35CF">
        <w:rPr>
          <w:rFonts w:ascii="Trebuchet MS" w:hAnsi="Trebuchet MS"/>
          <w:sz w:val="24"/>
          <w:szCs w:val="24"/>
        </w:rPr>
        <w:br/>
      </w:r>
      <w:r w:rsidR="00FB6621" w:rsidRPr="007D35CF">
        <w:rPr>
          <w:rFonts w:ascii="Trebuchet MS" w:hAnsi="Trebuchet MS"/>
          <w:sz w:val="24"/>
          <w:szCs w:val="24"/>
        </w:rPr>
        <w:br/>
      </w:r>
      <w:r w:rsidR="00945BC8" w:rsidRPr="007D35CF">
        <w:rPr>
          <w:rFonts w:ascii="Trebuchet MS" w:hAnsi="Trebuchet MS"/>
          <w:sz w:val="24"/>
          <w:szCs w:val="24"/>
        </w:rPr>
        <w:t>Bei der vorgeburtlichen Beratung wäre eine Information über den wah</w:t>
      </w:r>
      <w:r w:rsidR="00945BC8" w:rsidRPr="007D35CF">
        <w:rPr>
          <w:rFonts w:ascii="Trebuchet MS" w:hAnsi="Trebuchet MS"/>
          <w:sz w:val="24"/>
          <w:szCs w:val="24"/>
        </w:rPr>
        <w:t>r</w:t>
      </w:r>
      <w:r w:rsidR="00945BC8" w:rsidRPr="007D35CF">
        <w:rPr>
          <w:rFonts w:ascii="Trebuchet MS" w:hAnsi="Trebuchet MS"/>
          <w:sz w:val="24"/>
          <w:szCs w:val="24"/>
        </w:rPr>
        <w:t>scheinlichen Zeitpunkt des Eintretens einer Erkrankung auch eine wichtige Information. Im Moment geht es sicher hauptsächlich um Krankheiten, die noch das Kind betreffen. Denkbar ist aber auch eine Aussage hinsichtlich Krankheiten, die erst im Erwachsenenalter auftreten werden, z.B. eine g</w:t>
      </w:r>
      <w:r w:rsidR="00945BC8" w:rsidRPr="007D35CF">
        <w:rPr>
          <w:rFonts w:ascii="Trebuchet MS" w:hAnsi="Trebuchet MS"/>
          <w:sz w:val="24"/>
          <w:szCs w:val="24"/>
        </w:rPr>
        <w:t>e</w:t>
      </w:r>
      <w:r w:rsidR="00945BC8" w:rsidRPr="007D35CF">
        <w:rPr>
          <w:rFonts w:ascii="Trebuchet MS" w:hAnsi="Trebuchet MS"/>
          <w:sz w:val="24"/>
          <w:szCs w:val="24"/>
        </w:rPr>
        <w:t xml:space="preserve">netisch bedingte Demenz oder Huntington. </w:t>
      </w:r>
      <w:r w:rsidR="00FB6621" w:rsidRPr="007D35CF">
        <w:rPr>
          <w:rFonts w:ascii="Trebuchet MS" w:hAnsi="Trebuchet MS"/>
          <w:sz w:val="24"/>
          <w:szCs w:val="24"/>
        </w:rPr>
        <w:br/>
      </w:r>
      <w:r w:rsidR="00FB6621" w:rsidRPr="007D35CF">
        <w:rPr>
          <w:rFonts w:ascii="Trebuchet MS" w:hAnsi="Trebuchet MS"/>
          <w:sz w:val="24"/>
          <w:szCs w:val="24"/>
        </w:rPr>
        <w:br/>
      </w:r>
    </w:p>
    <w:p w:rsidR="00EE14C5" w:rsidRPr="007D35CF" w:rsidRDefault="00945BC8" w:rsidP="007D35CF">
      <w:pPr>
        <w:pStyle w:val="Listenabsatz"/>
        <w:numPr>
          <w:ilvl w:val="0"/>
          <w:numId w:val="4"/>
        </w:numPr>
        <w:rPr>
          <w:rFonts w:ascii="Trebuchet MS" w:hAnsi="Trebuchet MS"/>
          <w:sz w:val="24"/>
          <w:szCs w:val="24"/>
        </w:rPr>
      </w:pPr>
      <w:r w:rsidRPr="007D35CF">
        <w:rPr>
          <w:rFonts w:ascii="Trebuchet MS" w:hAnsi="Trebuchet MS"/>
          <w:sz w:val="24"/>
          <w:szCs w:val="24"/>
        </w:rPr>
        <w:t xml:space="preserve">In der Richtlinie fehlen bislang auch restriktive Vorgaben zur Anwendung der §§ 14 und 15 Gendiagnostikgesetz. </w:t>
      </w:r>
      <w:r w:rsidR="00FB6621" w:rsidRPr="007D35CF">
        <w:rPr>
          <w:rFonts w:ascii="Trebuchet MS" w:hAnsi="Trebuchet MS"/>
          <w:sz w:val="24"/>
          <w:szCs w:val="24"/>
        </w:rPr>
        <w:br/>
      </w:r>
      <w:r w:rsidRPr="007D35CF">
        <w:rPr>
          <w:rFonts w:ascii="Trebuchet MS" w:hAnsi="Trebuchet MS"/>
          <w:sz w:val="24"/>
          <w:szCs w:val="24"/>
        </w:rPr>
        <w:t xml:space="preserve">Insbesondere die Entscheidungsbefugnis von Betreuerinnen und Betreuern zu genetischen Untersuchungen an nicht-einwilligungsfähigen Personen sollte an eine vorherige Beratung und Qualifizierung der Betreuerinnen und Betreuer sowie an eine </w:t>
      </w:r>
      <w:r w:rsidR="00EE14C5" w:rsidRPr="007D35CF">
        <w:rPr>
          <w:rFonts w:ascii="Trebuchet MS" w:hAnsi="Trebuchet MS"/>
          <w:sz w:val="24"/>
          <w:szCs w:val="24"/>
        </w:rPr>
        <w:t xml:space="preserve">spezifische Schulung der Ärztinnen und Ärzte zur ethischen Problematik dieser Konstellationen gebunden werden. </w:t>
      </w:r>
      <w:r w:rsidR="00FB6621" w:rsidRPr="007D35CF">
        <w:rPr>
          <w:rFonts w:ascii="Trebuchet MS" w:hAnsi="Trebuchet MS"/>
          <w:sz w:val="24"/>
          <w:szCs w:val="24"/>
        </w:rPr>
        <w:br/>
      </w:r>
      <w:r w:rsidR="007D35CF">
        <w:rPr>
          <w:rFonts w:ascii="Trebuchet MS" w:hAnsi="Trebuchet MS"/>
          <w:sz w:val="24"/>
          <w:szCs w:val="24"/>
        </w:rPr>
        <w:br/>
      </w:r>
      <w:r w:rsidR="007D35CF">
        <w:rPr>
          <w:rFonts w:ascii="Trebuchet MS" w:hAnsi="Trebuchet MS"/>
          <w:sz w:val="24"/>
          <w:szCs w:val="24"/>
        </w:rPr>
        <w:br/>
      </w:r>
      <w:r w:rsidR="007D35CF">
        <w:rPr>
          <w:rFonts w:ascii="Trebuchet MS" w:hAnsi="Trebuchet MS"/>
          <w:sz w:val="24"/>
          <w:szCs w:val="24"/>
        </w:rPr>
        <w:lastRenderedPageBreak/>
        <w:br/>
      </w:r>
      <w:r w:rsidR="00FB6621" w:rsidRPr="007D35CF">
        <w:rPr>
          <w:rFonts w:ascii="Trebuchet MS" w:hAnsi="Trebuchet MS"/>
          <w:sz w:val="24"/>
          <w:szCs w:val="24"/>
        </w:rPr>
        <w:br/>
      </w:r>
      <w:r w:rsidR="00EE14C5" w:rsidRPr="007D35CF">
        <w:rPr>
          <w:rFonts w:ascii="Trebuchet MS" w:hAnsi="Trebuchet MS"/>
          <w:sz w:val="24"/>
          <w:szCs w:val="24"/>
        </w:rPr>
        <w:t>Aus Sicht der BAG SELBSTHILFE sollte sich die Kommission prinzipiell gegen die genetische Untersuchung nicht-einwilligungsfähiger Personen einsetzen.</w:t>
      </w:r>
    </w:p>
    <w:p w:rsidR="00EE14C5" w:rsidRPr="007D35CF" w:rsidRDefault="00EE14C5" w:rsidP="007D35CF">
      <w:pPr>
        <w:rPr>
          <w:rFonts w:ascii="Trebuchet MS" w:hAnsi="Trebuchet MS"/>
          <w:sz w:val="24"/>
          <w:szCs w:val="24"/>
        </w:rPr>
      </w:pPr>
    </w:p>
    <w:p w:rsidR="00EE14C5" w:rsidRPr="007D35CF" w:rsidRDefault="00EE14C5" w:rsidP="007D35CF">
      <w:pPr>
        <w:rPr>
          <w:rFonts w:ascii="Trebuchet MS" w:hAnsi="Trebuchet MS"/>
          <w:sz w:val="24"/>
          <w:szCs w:val="24"/>
        </w:rPr>
      </w:pPr>
    </w:p>
    <w:p w:rsidR="00FB6621" w:rsidRPr="007D35CF" w:rsidRDefault="00FB6621" w:rsidP="007D35CF">
      <w:pPr>
        <w:rPr>
          <w:rFonts w:ascii="Trebuchet MS" w:hAnsi="Trebuchet MS"/>
          <w:sz w:val="24"/>
          <w:szCs w:val="24"/>
        </w:rPr>
      </w:pPr>
    </w:p>
    <w:p w:rsidR="00EE14C5" w:rsidRPr="007D35CF" w:rsidRDefault="00EE14C5" w:rsidP="007D35CF">
      <w:pPr>
        <w:rPr>
          <w:rFonts w:ascii="Trebuchet MS" w:hAnsi="Trebuchet MS"/>
          <w:sz w:val="24"/>
          <w:szCs w:val="24"/>
        </w:rPr>
      </w:pPr>
      <w:r w:rsidRPr="007D35CF">
        <w:rPr>
          <w:rFonts w:ascii="Trebuchet MS" w:hAnsi="Trebuchet MS"/>
          <w:sz w:val="24"/>
          <w:szCs w:val="24"/>
        </w:rPr>
        <w:t>Düsseldorf, 03. März 2011</w:t>
      </w:r>
    </w:p>
    <w:sectPr w:rsidR="00EE14C5" w:rsidRPr="007D35CF" w:rsidSect="00E9629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1F" w:rsidRDefault="0094051F" w:rsidP="00EE14C5">
      <w:r>
        <w:separator/>
      </w:r>
    </w:p>
  </w:endnote>
  <w:endnote w:type="continuationSeparator" w:id="0">
    <w:p w:rsidR="0094051F" w:rsidRDefault="0094051F" w:rsidP="00EE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866"/>
      <w:docPartObj>
        <w:docPartGallery w:val="Page Numbers (Bottom of Page)"/>
        <w:docPartUnique/>
      </w:docPartObj>
    </w:sdtPr>
    <w:sdtEndPr/>
    <w:sdtContent>
      <w:p w:rsidR="007D35CF" w:rsidRDefault="007D35CF">
        <w:pPr>
          <w:pStyle w:val="Fuzeile"/>
          <w:jc w:val="center"/>
        </w:pPr>
        <w:r>
          <w:fldChar w:fldCharType="begin"/>
        </w:r>
        <w:r>
          <w:instrText>PAGE   \* MERGEFORMAT</w:instrText>
        </w:r>
        <w:r>
          <w:fldChar w:fldCharType="separate"/>
        </w:r>
        <w:r w:rsidR="003B5612">
          <w:rPr>
            <w:noProof/>
          </w:rPr>
          <w:t>4</w:t>
        </w:r>
        <w:r>
          <w:fldChar w:fldCharType="end"/>
        </w:r>
      </w:p>
    </w:sdtContent>
  </w:sdt>
  <w:p w:rsidR="007D35CF" w:rsidRDefault="007D35C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1F" w:rsidRDefault="0094051F" w:rsidP="00EE14C5">
      <w:r>
        <w:separator/>
      </w:r>
    </w:p>
  </w:footnote>
  <w:footnote w:type="continuationSeparator" w:id="0">
    <w:p w:rsidR="0094051F" w:rsidRDefault="0094051F" w:rsidP="00EE1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4C5" w:rsidRDefault="00EE14C5">
    <w:pPr>
      <w:pStyle w:val="Kopfzeile"/>
    </w:pPr>
    <w:r>
      <w:rPr>
        <w:rFonts w:ascii="Arial" w:hAnsi="Arial" w:cs="Arial"/>
        <w:b/>
        <w:bCs/>
        <w:noProof/>
        <w:sz w:val="32"/>
        <w:lang w:eastAsia="de-DE"/>
      </w:rPr>
      <w:drawing>
        <wp:inline distT="0" distB="0" distL="0" distR="0" wp14:anchorId="60BB8108" wp14:editId="145202D9">
          <wp:extent cx="1390650" cy="1038225"/>
          <wp:effectExtent l="0" t="0" r="0" b="9525"/>
          <wp:docPr id="2" name="Grafik 2"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G_Logo-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038225"/>
                  </a:xfrm>
                  <a:prstGeom prst="rect">
                    <a:avLst/>
                  </a:prstGeom>
                  <a:noFill/>
                  <a:ln>
                    <a:noFill/>
                  </a:ln>
                </pic:spPr>
              </pic:pic>
            </a:graphicData>
          </a:graphic>
        </wp:inline>
      </w:drawing>
    </w:r>
  </w:p>
  <w:p w:rsidR="00EE14C5" w:rsidRDefault="00EE14C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C16FD"/>
    <w:multiLevelType w:val="hybridMultilevel"/>
    <w:tmpl w:val="1C3800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73D65C0"/>
    <w:multiLevelType w:val="hybridMultilevel"/>
    <w:tmpl w:val="7364208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nsid w:val="523457CB"/>
    <w:multiLevelType w:val="hybridMultilevel"/>
    <w:tmpl w:val="97B20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1176C1C"/>
    <w:multiLevelType w:val="hybridMultilevel"/>
    <w:tmpl w:val="455E8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CD"/>
    <w:rsid w:val="000327C3"/>
    <w:rsid w:val="00073BBE"/>
    <w:rsid w:val="00112A81"/>
    <w:rsid w:val="00124895"/>
    <w:rsid w:val="00137BEE"/>
    <w:rsid w:val="001A1D8A"/>
    <w:rsid w:val="001F4F99"/>
    <w:rsid w:val="00250EC4"/>
    <w:rsid w:val="002921A1"/>
    <w:rsid w:val="002E0C9A"/>
    <w:rsid w:val="002E3E0E"/>
    <w:rsid w:val="00333905"/>
    <w:rsid w:val="00360A85"/>
    <w:rsid w:val="003737B1"/>
    <w:rsid w:val="003B5612"/>
    <w:rsid w:val="003F543B"/>
    <w:rsid w:val="00433ED4"/>
    <w:rsid w:val="00491199"/>
    <w:rsid w:val="004915B1"/>
    <w:rsid w:val="004916A2"/>
    <w:rsid w:val="00523770"/>
    <w:rsid w:val="00580244"/>
    <w:rsid w:val="005B40F7"/>
    <w:rsid w:val="005C4B01"/>
    <w:rsid w:val="005E63D0"/>
    <w:rsid w:val="00627CAE"/>
    <w:rsid w:val="00650723"/>
    <w:rsid w:val="0066681F"/>
    <w:rsid w:val="006A2918"/>
    <w:rsid w:val="006C682A"/>
    <w:rsid w:val="006E689D"/>
    <w:rsid w:val="00735D0C"/>
    <w:rsid w:val="00746E9A"/>
    <w:rsid w:val="00757340"/>
    <w:rsid w:val="007A209E"/>
    <w:rsid w:val="007A640E"/>
    <w:rsid w:val="007D35CF"/>
    <w:rsid w:val="008204B4"/>
    <w:rsid w:val="0082167D"/>
    <w:rsid w:val="00841895"/>
    <w:rsid w:val="008913EA"/>
    <w:rsid w:val="0089455B"/>
    <w:rsid w:val="008958CD"/>
    <w:rsid w:val="00897F5A"/>
    <w:rsid w:val="008A16C2"/>
    <w:rsid w:val="008F6470"/>
    <w:rsid w:val="00900046"/>
    <w:rsid w:val="00911AE0"/>
    <w:rsid w:val="0094051F"/>
    <w:rsid w:val="00945BC8"/>
    <w:rsid w:val="0097015F"/>
    <w:rsid w:val="0097601A"/>
    <w:rsid w:val="009A6D53"/>
    <w:rsid w:val="009D2083"/>
    <w:rsid w:val="009D6C70"/>
    <w:rsid w:val="009E303A"/>
    <w:rsid w:val="009E4AB4"/>
    <w:rsid w:val="00A02CAD"/>
    <w:rsid w:val="00A06C62"/>
    <w:rsid w:val="00A3260D"/>
    <w:rsid w:val="00A61873"/>
    <w:rsid w:val="00A71B0D"/>
    <w:rsid w:val="00AD015E"/>
    <w:rsid w:val="00AD3BE1"/>
    <w:rsid w:val="00AE0E52"/>
    <w:rsid w:val="00B1440F"/>
    <w:rsid w:val="00B50BCD"/>
    <w:rsid w:val="00BE10CE"/>
    <w:rsid w:val="00BF0853"/>
    <w:rsid w:val="00C00DC1"/>
    <w:rsid w:val="00C60C67"/>
    <w:rsid w:val="00C90048"/>
    <w:rsid w:val="00CE21BB"/>
    <w:rsid w:val="00CE4C83"/>
    <w:rsid w:val="00CE6CF0"/>
    <w:rsid w:val="00D007BE"/>
    <w:rsid w:val="00D924D2"/>
    <w:rsid w:val="00DC6573"/>
    <w:rsid w:val="00DF621E"/>
    <w:rsid w:val="00E053F4"/>
    <w:rsid w:val="00E93711"/>
    <w:rsid w:val="00E96299"/>
    <w:rsid w:val="00EE14C5"/>
    <w:rsid w:val="00F04229"/>
    <w:rsid w:val="00F10315"/>
    <w:rsid w:val="00F645E0"/>
    <w:rsid w:val="00F7758C"/>
    <w:rsid w:val="00FB6621"/>
    <w:rsid w:val="00FD56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2A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58CD"/>
    <w:pPr>
      <w:ind w:left="720"/>
      <w:contextualSpacing/>
    </w:pPr>
  </w:style>
  <w:style w:type="paragraph" w:styleId="Kopfzeile">
    <w:name w:val="header"/>
    <w:basedOn w:val="Standard"/>
    <w:link w:val="KopfzeileZchn"/>
    <w:uiPriority w:val="99"/>
    <w:unhideWhenUsed/>
    <w:rsid w:val="00EE14C5"/>
    <w:pPr>
      <w:tabs>
        <w:tab w:val="center" w:pos="4536"/>
        <w:tab w:val="right" w:pos="9072"/>
      </w:tabs>
    </w:pPr>
  </w:style>
  <w:style w:type="character" w:customStyle="1" w:styleId="KopfzeileZchn">
    <w:name w:val="Kopfzeile Zchn"/>
    <w:basedOn w:val="Absatz-Standardschriftart"/>
    <w:link w:val="Kopfzeile"/>
    <w:uiPriority w:val="99"/>
    <w:rsid w:val="00EE14C5"/>
  </w:style>
  <w:style w:type="paragraph" w:styleId="Fuzeile">
    <w:name w:val="footer"/>
    <w:basedOn w:val="Standard"/>
    <w:link w:val="FuzeileZchn"/>
    <w:uiPriority w:val="99"/>
    <w:unhideWhenUsed/>
    <w:rsid w:val="00EE14C5"/>
    <w:pPr>
      <w:tabs>
        <w:tab w:val="center" w:pos="4536"/>
        <w:tab w:val="right" w:pos="9072"/>
      </w:tabs>
    </w:pPr>
  </w:style>
  <w:style w:type="character" w:customStyle="1" w:styleId="FuzeileZchn">
    <w:name w:val="Fußzeile Zchn"/>
    <w:basedOn w:val="Absatz-Standardschriftart"/>
    <w:link w:val="Fuzeile"/>
    <w:uiPriority w:val="99"/>
    <w:rsid w:val="00EE14C5"/>
  </w:style>
  <w:style w:type="paragraph" w:styleId="Sprechblasentext">
    <w:name w:val="Balloon Text"/>
    <w:basedOn w:val="Standard"/>
    <w:link w:val="SprechblasentextZchn"/>
    <w:uiPriority w:val="99"/>
    <w:semiHidden/>
    <w:unhideWhenUsed/>
    <w:rsid w:val="00EE14C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1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2A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58CD"/>
    <w:pPr>
      <w:ind w:left="720"/>
      <w:contextualSpacing/>
    </w:pPr>
  </w:style>
  <w:style w:type="paragraph" w:styleId="Kopfzeile">
    <w:name w:val="header"/>
    <w:basedOn w:val="Standard"/>
    <w:link w:val="KopfzeileZchn"/>
    <w:uiPriority w:val="99"/>
    <w:unhideWhenUsed/>
    <w:rsid w:val="00EE14C5"/>
    <w:pPr>
      <w:tabs>
        <w:tab w:val="center" w:pos="4536"/>
        <w:tab w:val="right" w:pos="9072"/>
      </w:tabs>
    </w:pPr>
  </w:style>
  <w:style w:type="character" w:customStyle="1" w:styleId="KopfzeileZchn">
    <w:name w:val="Kopfzeile Zchn"/>
    <w:basedOn w:val="Absatz-Standardschriftart"/>
    <w:link w:val="Kopfzeile"/>
    <w:uiPriority w:val="99"/>
    <w:rsid w:val="00EE14C5"/>
  </w:style>
  <w:style w:type="paragraph" w:styleId="Fuzeile">
    <w:name w:val="footer"/>
    <w:basedOn w:val="Standard"/>
    <w:link w:val="FuzeileZchn"/>
    <w:uiPriority w:val="99"/>
    <w:unhideWhenUsed/>
    <w:rsid w:val="00EE14C5"/>
    <w:pPr>
      <w:tabs>
        <w:tab w:val="center" w:pos="4536"/>
        <w:tab w:val="right" w:pos="9072"/>
      </w:tabs>
    </w:pPr>
  </w:style>
  <w:style w:type="character" w:customStyle="1" w:styleId="FuzeileZchn">
    <w:name w:val="Fußzeile Zchn"/>
    <w:basedOn w:val="Absatz-Standardschriftart"/>
    <w:link w:val="Fuzeile"/>
    <w:uiPriority w:val="99"/>
    <w:rsid w:val="00EE14C5"/>
  </w:style>
  <w:style w:type="paragraph" w:styleId="Sprechblasentext">
    <w:name w:val="Balloon Text"/>
    <w:basedOn w:val="Standard"/>
    <w:link w:val="SprechblasentextZchn"/>
    <w:uiPriority w:val="99"/>
    <w:semiHidden/>
    <w:unhideWhenUsed/>
    <w:rsid w:val="00EE14C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14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4206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BAG Selbsthilfe</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smeyer</dc:creator>
  <cp:keywords/>
  <dc:description/>
  <cp:lastModifiedBy>smeyer</cp:lastModifiedBy>
  <cp:revision>15</cp:revision>
  <cp:lastPrinted>2011-03-04T12:15:00Z</cp:lastPrinted>
  <dcterms:created xsi:type="dcterms:W3CDTF">2011-03-03T10:16:00Z</dcterms:created>
  <dcterms:modified xsi:type="dcterms:W3CDTF">2011-03-06T18:24:00Z</dcterms:modified>
</cp:coreProperties>
</file>