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91" w:rsidRDefault="00934BF9" w:rsidP="00DB78FD">
      <w:pPr>
        <w:pStyle w:val="Titel"/>
        <w:rPr>
          <w:b w:val="0"/>
        </w:rPr>
      </w:pPr>
      <w:bookmarkStart w:id="0" w:name="_GoBack"/>
      <w:bookmarkEnd w:id="0"/>
      <w:r>
        <w:t xml:space="preserve">Diagnoseliste zum langfristigen Heilmittelbedarf </w:t>
      </w:r>
      <w:r w:rsidR="00AA12EC">
        <w:t xml:space="preserve">erweitert </w:t>
      </w:r>
      <w:r>
        <w:t xml:space="preserve">und Höchstmengen </w:t>
      </w:r>
      <w:r w:rsidR="00AA12EC">
        <w:t>für</w:t>
      </w:r>
      <w:r>
        <w:t xml:space="preserve"> Ergotherapie </w:t>
      </w:r>
      <w:r w:rsidR="00AA12EC">
        <w:t>verdoppelt</w:t>
      </w:r>
    </w:p>
    <w:p w:rsidR="00B02FFB" w:rsidRPr="00BD73D4" w:rsidRDefault="00386306" w:rsidP="00B02FFB">
      <w:pPr>
        <w:spacing w:line="264" w:lineRule="auto"/>
        <w:jc w:val="both"/>
        <w:rPr>
          <w:rFonts w:cs="Arial"/>
          <w:b/>
          <w:szCs w:val="22"/>
        </w:rPr>
      </w:pPr>
      <w:r w:rsidRPr="00BD73D4">
        <w:rPr>
          <w:rFonts w:cs="Arial"/>
          <w:b/>
          <w:szCs w:val="22"/>
        </w:rPr>
        <w:t xml:space="preserve">Bereits </w:t>
      </w:r>
      <w:r w:rsidR="00AA12EC">
        <w:rPr>
          <w:rFonts w:cs="Arial"/>
          <w:b/>
          <w:szCs w:val="22"/>
        </w:rPr>
        <w:t>im</w:t>
      </w:r>
      <w:r w:rsidRPr="00BD73D4">
        <w:rPr>
          <w:rFonts w:cs="Arial"/>
          <w:b/>
          <w:szCs w:val="22"/>
        </w:rPr>
        <w:t xml:space="preserve"> März 2021 hat der Gemeinsame Bundesausschuss (G-BA) sieben weitere </w:t>
      </w:r>
      <w:r w:rsidR="00AA12EC">
        <w:rPr>
          <w:rFonts w:cs="Arial"/>
          <w:b/>
          <w:szCs w:val="22"/>
        </w:rPr>
        <w:t>Erkrankungen</w:t>
      </w:r>
      <w:r w:rsidR="00AA12EC" w:rsidRPr="00BD73D4">
        <w:rPr>
          <w:rFonts w:cs="Arial"/>
          <w:b/>
          <w:szCs w:val="22"/>
        </w:rPr>
        <w:t xml:space="preserve"> </w:t>
      </w:r>
      <w:r w:rsidRPr="00BD73D4">
        <w:rPr>
          <w:rFonts w:cs="Arial"/>
          <w:b/>
          <w:szCs w:val="22"/>
        </w:rPr>
        <w:t>in die Diagnoseliste zum langfristigen Heilmittelbedarf aufgenommen</w:t>
      </w:r>
      <w:r w:rsidR="00AA12EC">
        <w:rPr>
          <w:rFonts w:cs="Arial"/>
          <w:b/>
          <w:szCs w:val="22"/>
        </w:rPr>
        <w:t xml:space="preserve"> und die </w:t>
      </w:r>
      <w:r w:rsidRPr="00BD73D4">
        <w:rPr>
          <w:rFonts w:cs="Arial"/>
          <w:b/>
          <w:szCs w:val="22"/>
        </w:rPr>
        <w:t xml:space="preserve">Höchstmenge je Verordnung </w:t>
      </w:r>
      <w:r w:rsidR="00AA12EC">
        <w:rPr>
          <w:rFonts w:cs="Arial"/>
          <w:b/>
          <w:szCs w:val="22"/>
        </w:rPr>
        <w:t xml:space="preserve">bei der Ergotherapie </w:t>
      </w:r>
      <w:r w:rsidRPr="00BD73D4">
        <w:rPr>
          <w:rFonts w:cs="Arial"/>
          <w:b/>
          <w:szCs w:val="22"/>
        </w:rPr>
        <w:t>von 10 auf 20 Einheiten für die Diagnosegruppen PS 2 und PS 3 beschlossen. Die Änderungen treten jetzt zum 01. Juli 2021 in Kraft.</w:t>
      </w:r>
    </w:p>
    <w:p w:rsidR="00111C91" w:rsidRPr="00DB78FD" w:rsidRDefault="00D9789A" w:rsidP="00DB78FD">
      <w:pPr>
        <w:pStyle w:val="GBAStandard"/>
        <w:rPr>
          <w:u w:val="single"/>
        </w:rPr>
      </w:pPr>
      <w:r w:rsidRPr="00DB78FD">
        <w:rPr>
          <w:u w:val="single"/>
        </w:rPr>
        <w:t>Langfristiger Heilmittelbedarf</w:t>
      </w:r>
    </w:p>
    <w:p w:rsidR="00471F6A" w:rsidRPr="002A4392" w:rsidRDefault="009B49FA" w:rsidP="002A4392">
      <w:pPr>
        <w:pStyle w:val="GBAStandard"/>
      </w:pPr>
      <w:r w:rsidRPr="00DB78FD">
        <w:t>Bei schweren funktionellen oder strukturellen Schädigungen kann es notwendig sein</w:t>
      </w:r>
      <w:r w:rsidR="00AA12EC" w:rsidRPr="00DB78FD">
        <w:t>,</w:t>
      </w:r>
      <w:r w:rsidRPr="00DB78FD">
        <w:t xml:space="preserve"> Physio-</w:t>
      </w:r>
      <w:r w:rsidR="001636C1" w:rsidRPr="00DB78FD">
        <w:t>, Sprach- oder</w:t>
      </w:r>
      <w:r w:rsidRPr="00DB78FD">
        <w:t xml:space="preserve"> Ergotherapie dauerhaft (mindestens 1 Jahr) als Behandlung einzusetzen. </w:t>
      </w:r>
      <w:r w:rsidR="00471F6A" w:rsidRPr="00DB78FD">
        <w:t xml:space="preserve">Die Heilmittel-Richtlinie enthält als Anlage 2 </w:t>
      </w:r>
      <w:r w:rsidR="00AA12EC" w:rsidRPr="00DB78FD">
        <w:t xml:space="preserve">dafür </w:t>
      </w:r>
      <w:r w:rsidR="00471F6A" w:rsidRPr="00DB78FD">
        <w:t>eine Diagnoseliste. Sie führt die Erkrankungen auf, bei denen eine langfristige Heilmitteltherapie erforderlich werden kann</w:t>
      </w:r>
      <w:r w:rsidR="00AA12EC" w:rsidRPr="00DB78FD">
        <w:t xml:space="preserve"> und </w:t>
      </w:r>
      <w:r w:rsidR="00471F6A" w:rsidRPr="00DB78FD">
        <w:t>wiederholt für jeweils 12 Wochen ausgestellt werden</w:t>
      </w:r>
      <w:r w:rsidR="00AA12EC" w:rsidRPr="00DB78FD">
        <w:t xml:space="preserve"> kann</w:t>
      </w:r>
      <w:r w:rsidR="00471F6A" w:rsidRPr="00DB78FD">
        <w:t>.</w:t>
      </w:r>
    </w:p>
    <w:p w:rsidR="00C2382A" w:rsidRPr="00DB78FD" w:rsidRDefault="00C2382A" w:rsidP="00DB78FD">
      <w:pPr>
        <w:pStyle w:val="GBAStandard"/>
      </w:pPr>
      <w:r w:rsidRPr="00DB78FD">
        <w:t xml:space="preserve">Die </w:t>
      </w:r>
      <w:r w:rsidR="00B02FFB" w:rsidRPr="00DB78FD">
        <w:t xml:space="preserve">Patientenvertretung hat sich </w:t>
      </w:r>
      <w:r w:rsidR="00BD73D4" w:rsidRPr="00DB78FD">
        <w:t xml:space="preserve">für eine Erweiterung der Diagnoseliste </w:t>
      </w:r>
      <w:r w:rsidR="00B02FFB" w:rsidRPr="00DB78FD">
        <w:t>stark gemacht</w:t>
      </w:r>
      <w:r w:rsidR="008D4A74" w:rsidRPr="00DB78FD">
        <w:t>,</w:t>
      </w:r>
      <w:r w:rsidR="00B02FFB" w:rsidRPr="00DB78FD">
        <w:t xml:space="preserve"> </w:t>
      </w:r>
      <w:r w:rsidR="00BD73D4" w:rsidRPr="00DB78FD">
        <w:t>und folgende Erkrankungen wurden neu aufgenommen:</w:t>
      </w:r>
    </w:p>
    <w:p w:rsidR="00C2382A" w:rsidRPr="00111C91" w:rsidRDefault="00C2382A" w:rsidP="00DB78FD">
      <w:pPr>
        <w:pStyle w:val="Listenabsatz"/>
      </w:pPr>
      <w:r w:rsidRPr="00111C91">
        <w:t>Guillain-Barré-Syndrom (Erkrankung des peripheren Nervensystems)</w:t>
      </w:r>
    </w:p>
    <w:p w:rsidR="00C2382A" w:rsidRPr="00111C91" w:rsidRDefault="00C2382A" w:rsidP="00DB78FD">
      <w:pPr>
        <w:pStyle w:val="Listenabsatz"/>
      </w:pPr>
      <w:r w:rsidRPr="00111C91">
        <w:t>Normaldruckhydrozephalus (Störung der Hirn-, Rückenmark- und Nervenfunktion)</w:t>
      </w:r>
    </w:p>
    <w:p w:rsidR="00C2382A" w:rsidRPr="00111C91" w:rsidRDefault="00C2382A" w:rsidP="00DB78FD">
      <w:pPr>
        <w:pStyle w:val="Listenabsatz"/>
      </w:pPr>
      <w:r w:rsidRPr="00111C91">
        <w:t>blutungsbedingte Gelenkschäden (</w:t>
      </w:r>
      <w:proofErr w:type="spellStart"/>
      <w:r w:rsidRPr="00111C91">
        <w:t>Arthropathia</w:t>
      </w:r>
      <w:proofErr w:type="spellEnd"/>
      <w:r w:rsidRPr="00111C91">
        <w:t xml:space="preserve"> </w:t>
      </w:r>
      <w:proofErr w:type="spellStart"/>
      <w:r w:rsidRPr="00111C91">
        <w:t>haemophilica</w:t>
      </w:r>
      <w:proofErr w:type="spellEnd"/>
      <w:r w:rsidRPr="00111C91">
        <w:t>)</w:t>
      </w:r>
    </w:p>
    <w:p w:rsidR="00C2382A" w:rsidRPr="00111C91" w:rsidRDefault="00C2382A" w:rsidP="00DB78FD">
      <w:pPr>
        <w:pStyle w:val="Listenabsatz"/>
      </w:pPr>
      <w:r w:rsidRPr="00111C91">
        <w:t>Ehlers-</w:t>
      </w:r>
      <w:proofErr w:type="spellStart"/>
      <w:r w:rsidRPr="00111C91">
        <w:t>Danlos</w:t>
      </w:r>
      <w:proofErr w:type="spellEnd"/>
      <w:r w:rsidRPr="00111C91">
        <w:t>-Syndrom (Erkrankung des Bindegewebes)</w:t>
      </w:r>
    </w:p>
    <w:p w:rsidR="00C2382A" w:rsidRPr="00111C91" w:rsidRDefault="00C2382A" w:rsidP="00DB78FD">
      <w:pPr>
        <w:pStyle w:val="Listenabsatz"/>
      </w:pPr>
      <w:r w:rsidRPr="00111C91">
        <w:t xml:space="preserve">Glasknochenkrankheit (Osteogenesis </w:t>
      </w:r>
      <w:proofErr w:type="spellStart"/>
      <w:r w:rsidRPr="00111C91">
        <w:t>imperfecta</w:t>
      </w:r>
      <w:proofErr w:type="spellEnd"/>
      <w:r w:rsidRPr="00111C91">
        <w:t>)</w:t>
      </w:r>
    </w:p>
    <w:p w:rsidR="00C2382A" w:rsidRPr="00111C91" w:rsidRDefault="00C2382A" w:rsidP="00DB78FD">
      <w:pPr>
        <w:pStyle w:val="Listenabsatz"/>
      </w:pPr>
      <w:r w:rsidRPr="00111C91">
        <w:t>angeborene Fehlbildungssyndrome vorwiegend an den Extremitäten</w:t>
      </w:r>
    </w:p>
    <w:p w:rsidR="00C2382A" w:rsidRPr="00111C91" w:rsidRDefault="00C2382A" w:rsidP="00DB78FD">
      <w:pPr>
        <w:pStyle w:val="Listenabsatz"/>
      </w:pPr>
      <w:r w:rsidRPr="00111C91">
        <w:t>schwere Verbrennungen oder Verätzungen</w:t>
      </w:r>
    </w:p>
    <w:p w:rsidR="00DB78FD" w:rsidRPr="00DB78FD" w:rsidRDefault="006766DE" w:rsidP="00DB78FD">
      <w:pPr>
        <w:pStyle w:val="GBAStandard"/>
        <w:rPr>
          <w:u w:val="single"/>
        </w:rPr>
      </w:pPr>
      <w:r w:rsidRPr="00DB78FD">
        <w:rPr>
          <w:u w:val="single"/>
        </w:rPr>
        <w:t>Höchstmenge in der Ergotherapie</w:t>
      </w:r>
    </w:p>
    <w:p w:rsidR="002C595D" w:rsidRPr="00DB78FD" w:rsidRDefault="002C595D" w:rsidP="00DB78FD">
      <w:pPr>
        <w:pStyle w:val="GBAStandard"/>
      </w:pPr>
      <w:r w:rsidRPr="00DB78FD">
        <w:t>Im Zuge der Überarbeitung der Heilmittel-Richtlinie (in Kraft getreten am 1. Januar 2021) hat die Patientenvertretung auf eine mögliche Verschlechterung der V</w:t>
      </w:r>
      <w:r w:rsidR="007066C9" w:rsidRPr="00DB78FD">
        <w:t>e</w:t>
      </w:r>
      <w:r w:rsidRPr="00DB78FD">
        <w:t xml:space="preserve">rsorgung bei Versicherten mit schweren chronischen psychischen Erkrankungen aufmerksam gemacht. Versicherte mit diesen Erkrankungen </w:t>
      </w:r>
      <w:r w:rsidR="00AA12EC" w:rsidRPr="00DB78FD">
        <w:t xml:space="preserve">- z.B. schwere Angst-, Zwangs- und Belastungsstörungen (PS2 und PS3) - </w:t>
      </w:r>
      <w:r w:rsidRPr="00DB78FD">
        <w:t>haben häufig Schwierigkeiten</w:t>
      </w:r>
      <w:r w:rsidR="008D4A74" w:rsidRPr="00DB78FD">
        <w:t>,</w:t>
      </w:r>
      <w:r w:rsidRPr="00DB78FD">
        <w:t xml:space="preserve"> ihre Arztbesuche und Termine im Rahmen der Heilmittelbehandlung zu organisieren. </w:t>
      </w:r>
    </w:p>
    <w:p w:rsidR="002C595D" w:rsidRPr="00DB78FD" w:rsidRDefault="002C595D" w:rsidP="00DB78FD">
      <w:pPr>
        <w:pStyle w:val="GBAStandard"/>
      </w:pPr>
      <w:r w:rsidRPr="00DB78FD">
        <w:t xml:space="preserve">Die </w:t>
      </w:r>
      <w:r w:rsidR="008D4A74" w:rsidRPr="00DB78FD">
        <w:t xml:space="preserve">nun erfolgte </w:t>
      </w:r>
      <w:r w:rsidRPr="00DB78FD">
        <w:t xml:space="preserve">Anpassung der Höchstmenge </w:t>
      </w:r>
      <w:r w:rsidR="008E106A" w:rsidRPr="00DB78FD">
        <w:t xml:space="preserve">in der Ergotherapie </w:t>
      </w:r>
      <w:r w:rsidRPr="00DB78FD">
        <w:t xml:space="preserve">je </w:t>
      </w:r>
      <w:proofErr w:type="gramStart"/>
      <w:r w:rsidRPr="00DB78FD">
        <w:t xml:space="preserve">Verordnung </w:t>
      </w:r>
      <w:r w:rsidR="00C467D7" w:rsidRPr="00DB78FD">
        <w:t xml:space="preserve"> auf</w:t>
      </w:r>
      <w:proofErr w:type="gramEnd"/>
      <w:r w:rsidR="00C467D7" w:rsidRPr="00DB78FD">
        <w:t xml:space="preserve"> </w:t>
      </w:r>
      <w:r w:rsidRPr="00DB78FD">
        <w:t xml:space="preserve">20 Einheiten stellt sicher, dass diese Patienten </w:t>
      </w:r>
      <w:r w:rsidR="007066C9" w:rsidRPr="00DB78FD">
        <w:t xml:space="preserve">in der Regel </w:t>
      </w:r>
      <w:r w:rsidRPr="00DB78FD">
        <w:t xml:space="preserve">mit einem Arztkontakt pro Quartal auskommen und ihre </w:t>
      </w:r>
      <w:r w:rsidR="00AA12EC" w:rsidRPr="00DB78FD">
        <w:t xml:space="preserve">Therapie </w:t>
      </w:r>
      <w:r w:rsidRPr="00DB78FD">
        <w:t>nicht unterbrochen wird.</w:t>
      </w:r>
      <w:r w:rsidR="008E106A" w:rsidRPr="00DB78FD">
        <w:t xml:space="preserve">. </w:t>
      </w:r>
    </w:p>
    <w:p w:rsidR="00111C91" w:rsidRPr="00111C91" w:rsidRDefault="00111C91" w:rsidP="00DB78FD">
      <w:pPr>
        <w:pStyle w:val="GBAStandard"/>
      </w:pPr>
      <w:r w:rsidRPr="00DB78FD">
        <w:t>Weiterführende Informationen zum Beschluss</w:t>
      </w:r>
      <w:r w:rsidRPr="006C1AA1">
        <w:rPr>
          <w:szCs w:val="22"/>
        </w:rPr>
        <w:t>:</w:t>
      </w:r>
      <w:r w:rsidRPr="002E462A">
        <w:rPr>
          <w:szCs w:val="22"/>
        </w:rPr>
        <w:t xml:space="preserve"> </w:t>
      </w:r>
      <w:hyperlink r:id="rId8" w:history="1">
        <w:r w:rsidRPr="002E462A">
          <w:rPr>
            <w:rStyle w:val="Hyperlink"/>
          </w:rPr>
          <w:t>https://www.g-ba.de/beschluesse/4754/</w:t>
        </w:r>
      </w:hyperlink>
      <w:r w:rsidRPr="002E462A">
        <w:rPr>
          <w:rStyle w:val="Hyperlink"/>
        </w:rPr>
        <w:t xml:space="preserve"> </w:t>
      </w:r>
    </w:p>
    <w:p w:rsidR="00350A0F" w:rsidRPr="00111C91" w:rsidRDefault="00350A0F" w:rsidP="002A4392">
      <w:pPr>
        <w:pStyle w:val="GBAStandard"/>
      </w:pPr>
      <w:r>
        <w:rPr>
          <w:u w:val="single"/>
        </w:rPr>
        <w:t>Ansprechpartner</w:t>
      </w:r>
      <w:r w:rsidR="00111C91">
        <w:rPr>
          <w:u w:val="single"/>
        </w:rPr>
        <w:t>in</w:t>
      </w:r>
      <w:r>
        <w:rPr>
          <w:u w:val="single"/>
        </w:rPr>
        <w:t>:</w:t>
      </w:r>
      <w:r>
        <w:t xml:space="preserve"> </w:t>
      </w:r>
      <w:r w:rsidR="00BD73D4">
        <w:t>Marion Rink, Sprecherin der Patientenvertretung im Unterausschuss Veranlasste Leistungen</w:t>
      </w:r>
      <w:r>
        <w:t>,</w:t>
      </w:r>
      <w:r w:rsidR="00BD73D4">
        <w:t xml:space="preserve"> </w:t>
      </w:r>
      <w:r w:rsidRPr="00EE4F56">
        <w:t xml:space="preserve">E-Mail: </w:t>
      </w:r>
      <w:hyperlink r:id="rId9" w:history="1">
        <w:r w:rsidR="00A1751C" w:rsidRPr="002E462A">
          <w:rPr>
            <w:rStyle w:val="Hyperlink"/>
          </w:rPr>
          <w:t>marionrink@web.de</w:t>
        </w:r>
      </w:hyperlink>
      <w:r w:rsidR="00A1751C">
        <w:t xml:space="preserve"> </w:t>
      </w:r>
    </w:p>
    <w:p w:rsidR="00350A0F" w:rsidRPr="00244268" w:rsidRDefault="00350A0F" w:rsidP="00A82DFC">
      <w:p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>
        <w:rPr>
          <w:rFonts w:cs="Arial"/>
          <w:sz w:val="18"/>
          <w:szCs w:val="18"/>
        </w:rPr>
        <w:t>___________________________________________________________________________</w:t>
      </w:r>
    </w:p>
    <w:p w:rsidR="00350A0F" w:rsidRPr="00244268" w:rsidRDefault="00350A0F" w:rsidP="00A82DFC">
      <w:p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besteht aus Vertreter</w:t>
      </w:r>
      <w:r>
        <w:rPr>
          <w:rFonts w:cs="Arial"/>
          <w:sz w:val="18"/>
          <w:szCs w:val="18"/>
        </w:rPr>
        <w:t xml:space="preserve">*innen </w:t>
      </w:r>
      <w:r w:rsidRPr="00244268">
        <w:rPr>
          <w:rFonts w:cs="Arial"/>
          <w:sz w:val="18"/>
          <w:szCs w:val="18"/>
        </w:rPr>
        <w:t xml:space="preserve">der vier maßgeblichen Patientenorganisationen entsprechend der Patientenbeteiligungsverordnung: </w:t>
      </w:r>
    </w:p>
    <w:p w:rsidR="00350A0F" w:rsidRPr="00244268" w:rsidRDefault="00350A0F" w:rsidP="00A82DFC">
      <w:pPr>
        <w:numPr>
          <w:ilvl w:val="0"/>
          <w:numId w:val="3"/>
        </w:num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:rsidR="00350A0F" w:rsidRPr="00244268" w:rsidRDefault="00350A0F" w:rsidP="00A82DFC">
      <w:pPr>
        <w:numPr>
          <w:ilvl w:val="0"/>
          <w:numId w:val="3"/>
        </w:num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 xml:space="preserve">Bundesarbeitsgemeinschaft </w:t>
      </w:r>
      <w:proofErr w:type="spellStart"/>
      <w:r w:rsidRPr="00244268">
        <w:rPr>
          <w:rFonts w:cs="Arial"/>
          <w:sz w:val="18"/>
          <w:szCs w:val="18"/>
        </w:rPr>
        <w:t>PatientInnenstellen</w:t>
      </w:r>
      <w:proofErr w:type="spellEnd"/>
      <w:r w:rsidRPr="00244268">
        <w:rPr>
          <w:rFonts w:cs="Arial"/>
          <w:sz w:val="18"/>
          <w:szCs w:val="18"/>
        </w:rPr>
        <w:t xml:space="preserve"> und -initiativen,</w:t>
      </w:r>
    </w:p>
    <w:p w:rsidR="00350A0F" w:rsidRPr="00244268" w:rsidRDefault="00350A0F" w:rsidP="00A82DFC">
      <w:pPr>
        <w:numPr>
          <w:ilvl w:val="0"/>
          <w:numId w:val="3"/>
        </w:num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:rsidR="00350A0F" w:rsidRPr="00244268" w:rsidRDefault="00350A0F" w:rsidP="00A82DFC">
      <w:pPr>
        <w:numPr>
          <w:ilvl w:val="0"/>
          <w:numId w:val="3"/>
        </w:num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:rsidR="00350A0F" w:rsidRPr="00826D0B" w:rsidRDefault="00350A0F" w:rsidP="00A82DFC">
      <w:pPr>
        <w:spacing w:line="264" w:lineRule="auto"/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350A0F" w:rsidRPr="00826D0B" w:rsidSect="007D5BB0">
      <w:headerReference w:type="default" r:id="rId10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37" w:rsidRDefault="007E5037" w:rsidP="00103F6D">
      <w:r>
        <w:separator/>
      </w:r>
    </w:p>
  </w:endnote>
  <w:endnote w:type="continuationSeparator" w:id="0">
    <w:p w:rsidR="007E5037" w:rsidRDefault="007E5037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37" w:rsidRDefault="007E5037" w:rsidP="00103F6D">
      <w:r>
        <w:separator/>
      </w:r>
    </w:p>
  </w:footnote>
  <w:footnote w:type="continuationSeparator" w:id="0">
    <w:p w:rsidR="007E5037" w:rsidRDefault="007E5037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F6D" w:rsidRPr="00B86458" w:rsidRDefault="00C467D7" w:rsidP="00B86458">
    <w:pPr>
      <w:pStyle w:val="Kopfzeile"/>
      <w:rPr>
        <w:rFonts w:cs="Arial"/>
        <w:b/>
        <w:bCs/>
        <w:sz w:val="16"/>
        <w:szCs w:val="16"/>
      </w:rPr>
    </w:pPr>
    <w:r>
      <w:rPr>
        <w:rFonts w:cs="Arial"/>
        <w:noProof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247650</wp:posOffset>
          </wp:positionV>
          <wp:extent cx="1586865" cy="330200"/>
          <wp:effectExtent l="1905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4535805</wp:posOffset>
          </wp:positionH>
          <wp:positionV relativeFrom="paragraph">
            <wp:posOffset>118110</wp:posOffset>
          </wp:positionV>
          <wp:extent cx="1296035" cy="481330"/>
          <wp:effectExtent l="19050" t="0" r="0" b="0"/>
          <wp:wrapSquare wrapText="bothSides"/>
          <wp:docPr id="8" name="Bild 8" descr="Bundesverband_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undesverband_v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Cs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2951480</wp:posOffset>
          </wp:positionH>
          <wp:positionV relativeFrom="paragraph">
            <wp:posOffset>235585</wp:posOffset>
          </wp:positionV>
          <wp:extent cx="1515745" cy="377190"/>
          <wp:effectExtent l="19050" t="0" r="8255" b="0"/>
          <wp:wrapSquare wrapText="bothSides"/>
          <wp:docPr id="9" name="Bild 9" descr="logoDAG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DAG_CMYK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7A01">
      <w:rPr>
        <w:rFonts w:cs="Arial"/>
        <w:b/>
        <w:bCs/>
      </w:rPr>
      <w:t xml:space="preserve">                                          </w:t>
    </w:r>
    <w:r>
      <w:rPr>
        <w:rFonts w:cs="Arial"/>
        <w:b/>
        <w:bCs/>
        <w:noProof/>
      </w:rPr>
      <w:drawing>
        <wp:inline distT="0" distB="0" distL="0" distR="0">
          <wp:extent cx="1262380" cy="702945"/>
          <wp:effectExtent l="19050" t="0" r="0" b="0"/>
          <wp:docPr id="1" name="Bild 1" descr="B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6458" w:rsidRPr="00B86458" w:rsidRDefault="00B86458" w:rsidP="00B86458">
    <w:pPr>
      <w:pStyle w:val="Kopfzeile"/>
      <w:rPr>
        <w:sz w:val="10"/>
        <w:szCs w:val="10"/>
      </w:rPr>
    </w:pPr>
  </w:p>
  <w:p w:rsidR="00103F6D" w:rsidRPr="00B44B90" w:rsidRDefault="00103F6D" w:rsidP="00B44B90">
    <w:pPr>
      <w:jc w:val="right"/>
      <w:rPr>
        <w:rFonts w:cs="Arial"/>
        <w:b/>
        <w:bCs/>
      </w:rPr>
    </w:pPr>
    <w:r>
      <w:rPr>
        <w:rFonts w:cs="Arial"/>
        <w:b/>
        <w:bCs/>
      </w:rPr>
      <w:t>Patientenvertretung im Gemeinsa</w:t>
    </w:r>
    <w:r w:rsidR="00B44B90">
      <w:rPr>
        <w:rFonts w:cs="Arial"/>
        <w:b/>
        <w:bCs/>
      </w:rPr>
      <w:t xml:space="preserve">men Bundesausschuss </w:t>
    </w:r>
  </w:p>
  <w:p w:rsidR="00103F6D" w:rsidRDefault="00103F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C507EB3"/>
    <w:multiLevelType w:val="multilevel"/>
    <w:tmpl w:val="C68C9908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2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EAB"/>
    <w:multiLevelType w:val="hybridMultilevel"/>
    <w:tmpl w:val="0698625C"/>
    <w:lvl w:ilvl="0" w:tplc="BBF88BA8">
      <w:start w:val="1"/>
      <w:numFmt w:val="bullet"/>
      <w:pStyle w:val="Listenabsatz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120"/>
    <w:multiLevelType w:val="multilevel"/>
    <w:tmpl w:val="CA94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0F92"/>
    <w:multiLevelType w:val="hybridMultilevel"/>
    <w:tmpl w:val="32E62DF0"/>
    <w:lvl w:ilvl="0" w:tplc="558AFD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5997"/>
    <w:multiLevelType w:val="hybridMultilevel"/>
    <w:tmpl w:val="FCD053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B"/>
    <w:rsid w:val="00003E44"/>
    <w:rsid w:val="00010310"/>
    <w:rsid w:val="000170F3"/>
    <w:rsid w:val="0002057D"/>
    <w:rsid w:val="00031576"/>
    <w:rsid w:val="00033FFB"/>
    <w:rsid w:val="0006762C"/>
    <w:rsid w:val="00093E51"/>
    <w:rsid w:val="000C6A59"/>
    <w:rsid w:val="00103F6D"/>
    <w:rsid w:val="00110EFC"/>
    <w:rsid w:val="00111C91"/>
    <w:rsid w:val="001136B6"/>
    <w:rsid w:val="001636C1"/>
    <w:rsid w:val="0017149A"/>
    <w:rsid w:val="0018379D"/>
    <w:rsid w:val="001A0BCA"/>
    <w:rsid w:val="001A560B"/>
    <w:rsid w:val="001A60AB"/>
    <w:rsid w:val="001E0543"/>
    <w:rsid w:val="002045C9"/>
    <w:rsid w:val="00244268"/>
    <w:rsid w:val="002A4392"/>
    <w:rsid w:val="002A78EB"/>
    <w:rsid w:val="002B25E8"/>
    <w:rsid w:val="002B594C"/>
    <w:rsid w:val="002B6C27"/>
    <w:rsid w:val="002C595D"/>
    <w:rsid w:val="002E462A"/>
    <w:rsid w:val="002F7EDB"/>
    <w:rsid w:val="00324CE4"/>
    <w:rsid w:val="00350A0F"/>
    <w:rsid w:val="00361C37"/>
    <w:rsid w:val="00372762"/>
    <w:rsid w:val="00386306"/>
    <w:rsid w:val="003935B4"/>
    <w:rsid w:val="00393F44"/>
    <w:rsid w:val="003A16D9"/>
    <w:rsid w:val="003B4FBD"/>
    <w:rsid w:val="003D671E"/>
    <w:rsid w:val="0041071B"/>
    <w:rsid w:val="00411ED1"/>
    <w:rsid w:val="00412F6D"/>
    <w:rsid w:val="00422C28"/>
    <w:rsid w:val="00471F6A"/>
    <w:rsid w:val="004761A3"/>
    <w:rsid w:val="00482502"/>
    <w:rsid w:val="004C217F"/>
    <w:rsid w:val="005247D1"/>
    <w:rsid w:val="005278FD"/>
    <w:rsid w:val="0055269C"/>
    <w:rsid w:val="00555E6D"/>
    <w:rsid w:val="0056606D"/>
    <w:rsid w:val="005712D8"/>
    <w:rsid w:val="005764B5"/>
    <w:rsid w:val="005831B2"/>
    <w:rsid w:val="0059236F"/>
    <w:rsid w:val="00597D08"/>
    <w:rsid w:val="00636DBA"/>
    <w:rsid w:val="006766DE"/>
    <w:rsid w:val="00686D32"/>
    <w:rsid w:val="0069481C"/>
    <w:rsid w:val="006A575F"/>
    <w:rsid w:val="006B0E30"/>
    <w:rsid w:val="006B2893"/>
    <w:rsid w:val="006C1AA1"/>
    <w:rsid w:val="006C5BD7"/>
    <w:rsid w:val="006D13F6"/>
    <w:rsid w:val="006E2293"/>
    <w:rsid w:val="006E2D46"/>
    <w:rsid w:val="006E430A"/>
    <w:rsid w:val="006F16B6"/>
    <w:rsid w:val="007066C9"/>
    <w:rsid w:val="007912CA"/>
    <w:rsid w:val="007942CD"/>
    <w:rsid w:val="00796D55"/>
    <w:rsid w:val="007B4261"/>
    <w:rsid w:val="007C570E"/>
    <w:rsid w:val="007D5BB0"/>
    <w:rsid w:val="007D5CB5"/>
    <w:rsid w:val="007D5CF1"/>
    <w:rsid w:val="007E5037"/>
    <w:rsid w:val="00800391"/>
    <w:rsid w:val="00803925"/>
    <w:rsid w:val="008110D5"/>
    <w:rsid w:val="00826D0B"/>
    <w:rsid w:val="00840C51"/>
    <w:rsid w:val="00842DB5"/>
    <w:rsid w:val="00891A27"/>
    <w:rsid w:val="008A07F0"/>
    <w:rsid w:val="008A1A13"/>
    <w:rsid w:val="008D1710"/>
    <w:rsid w:val="008D4A74"/>
    <w:rsid w:val="008E106A"/>
    <w:rsid w:val="008E60A1"/>
    <w:rsid w:val="008E6682"/>
    <w:rsid w:val="00901CCF"/>
    <w:rsid w:val="00934BF9"/>
    <w:rsid w:val="009520BC"/>
    <w:rsid w:val="009575A0"/>
    <w:rsid w:val="00987AF7"/>
    <w:rsid w:val="00992205"/>
    <w:rsid w:val="009A351D"/>
    <w:rsid w:val="009B49FA"/>
    <w:rsid w:val="009D07C6"/>
    <w:rsid w:val="00A1751C"/>
    <w:rsid w:val="00A47EF5"/>
    <w:rsid w:val="00A66F4D"/>
    <w:rsid w:val="00A82DFC"/>
    <w:rsid w:val="00A94540"/>
    <w:rsid w:val="00AA12EC"/>
    <w:rsid w:val="00AA2732"/>
    <w:rsid w:val="00AB758B"/>
    <w:rsid w:val="00AC419B"/>
    <w:rsid w:val="00AF4F81"/>
    <w:rsid w:val="00B02CE2"/>
    <w:rsid w:val="00B02FFB"/>
    <w:rsid w:val="00B111DC"/>
    <w:rsid w:val="00B12AAD"/>
    <w:rsid w:val="00B212EA"/>
    <w:rsid w:val="00B401FC"/>
    <w:rsid w:val="00B44B90"/>
    <w:rsid w:val="00B62497"/>
    <w:rsid w:val="00B86458"/>
    <w:rsid w:val="00BB3894"/>
    <w:rsid w:val="00BD5F02"/>
    <w:rsid w:val="00BD73D4"/>
    <w:rsid w:val="00BE3508"/>
    <w:rsid w:val="00C2382A"/>
    <w:rsid w:val="00C33977"/>
    <w:rsid w:val="00C455CF"/>
    <w:rsid w:val="00C467D7"/>
    <w:rsid w:val="00C63C3C"/>
    <w:rsid w:val="00C71F66"/>
    <w:rsid w:val="00C74926"/>
    <w:rsid w:val="00C93BEB"/>
    <w:rsid w:val="00C95B49"/>
    <w:rsid w:val="00C966F0"/>
    <w:rsid w:val="00CA0D25"/>
    <w:rsid w:val="00CA4730"/>
    <w:rsid w:val="00CD09AB"/>
    <w:rsid w:val="00CF1B6A"/>
    <w:rsid w:val="00CF7A37"/>
    <w:rsid w:val="00D4369F"/>
    <w:rsid w:val="00D80536"/>
    <w:rsid w:val="00D92324"/>
    <w:rsid w:val="00D9601D"/>
    <w:rsid w:val="00D9789A"/>
    <w:rsid w:val="00DB78FD"/>
    <w:rsid w:val="00E24E43"/>
    <w:rsid w:val="00E25800"/>
    <w:rsid w:val="00E27295"/>
    <w:rsid w:val="00E337BF"/>
    <w:rsid w:val="00E8565A"/>
    <w:rsid w:val="00E87A01"/>
    <w:rsid w:val="00E90463"/>
    <w:rsid w:val="00ED65F1"/>
    <w:rsid w:val="00ED6870"/>
    <w:rsid w:val="00EE4F56"/>
    <w:rsid w:val="00F12C04"/>
    <w:rsid w:val="00F1445A"/>
    <w:rsid w:val="00F15FB5"/>
    <w:rsid w:val="00F17635"/>
    <w:rsid w:val="00F3379E"/>
    <w:rsid w:val="00FA5E06"/>
    <w:rsid w:val="00FC534F"/>
    <w:rsid w:val="00FD7985"/>
    <w:rsid w:val="00FE6A9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057A83-4E07-4FDD-BF7D-24BFA844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78F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styleId="Hyperlink">
    <w:name w:val="Hyperlink"/>
    <w:uiPriority w:val="99"/>
    <w:unhideWhenUsed/>
    <w:rsid w:val="006B0E30"/>
    <w:rPr>
      <w:color w:val="0563C1"/>
      <w:u w:val="single"/>
    </w:rPr>
  </w:style>
  <w:style w:type="paragraph" w:customStyle="1" w:styleId="Default">
    <w:name w:val="Default"/>
    <w:rsid w:val="00F144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BAStandard">
    <w:name w:val="GBA_Standard"/>
    <w:basedOn w:val="Standard"/>
    <w:uiPriority w:val="10"/>
    <w:qFormat/>
    <w:rsid w:val="00DB78FD"/>
    <w:pPr>
      <w:spacing w:before="120" w:after="120" w:line="216" w:lineRule="auto"/>
      <w:jc w:val="both"/>
    </w:pPr>
    <w:rPr>
      <w:rFonts w:eastAsia="Calibri" w:cs="Calibri"/>
      <w:lang w:eastAsia="en-US"/>
    </w:rPr>
  </w:style>
  <w:style w:type="paragraph" w:customStyle="1" w:styleId="GBAAufzhlungIIIIII">
    <w:name w:val="GBA_Aufzählung I.II.III"/>
    <w:uiPriority w:val="6"/>
    <w:qFormat/>
    <w:rsid w:val="002F7EDB"/>
    <w:pPr>
      <w:numPr>
        <w:numId w:val="4"/>
      </w:numPr>
      <w:tabs>
        <w:tab w:val="num" w:pos="360"/>
      </w:tabs>
      <w:spacing w:before="120" w:line="216" w:lineRule="auto"/>
      <w:ind w:left="0" w:firstLine="0"/>
      <w:jc w:val="both"/>
    </w:pPr>
    <w:rPr>
      <w:rFonts w:ascii="Calibri" w:eastAsia="Calibri" w:hAnsi="Calibri"/>
      <w:sz w:val="24"/>
      <w:szCs w:val="22"/>
      <w:lang w:eastAsia="en-US"/>
    </w:rPr>
  </w:style>
  <w:style w:type="paragraph" w:styleId="Liste">
    <w:name w:val="List"/>
    <w:aliases w:val="GBA Spiegelstriche"/>
    <w:basedOn w:val="Standard"/>
    <w:uiPriority w:val="8"/>
    <w:rsid w:val="00350A0F"/>
    <w:pPr>
      <w:numPr>
        <w:numId w:val="7"/>
      </w:numPr>
      <w:tabs>
        <w:tab w:val="num" w:pos="720"/>
      </w:tabs>
      <w:spacing w:before="120" w:after="120" w:line="21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840C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0C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0C5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C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40C51"/>
    <w:rPr>
      <w:b/>
      <w:bCs/>
    </w:rPr>
  </w:style>
  <w:style w:type="paragraph" w:styleId="Listenabsatz">
    <w:name w:val="List Paragraph"/>
    <w:basedOn w:val="Standard"/>
    <w:uiPriority w:val="34"/>
    <w:qFormat/>
    <w:rsid w:val="00DB78FD"/>
    <w:pPr>
      <w:numPr>
        <w:numId w:val="9"/>
      </w:numPr>
      <w:ind w:left="1068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F686B"/>
    <w:pPr>
      <w:suppressAutoHyphens/>
      <w:spacing w:before="120" w:after="12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686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-ba.de/beschluesse/47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onrink@web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E192-56E3-455F-B8C3-3FC1E69D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3006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mailto:marionrink@web.de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https://www.g-ba.de/beschluesse/4754/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User</cp:lastModifiedBy>
  <cp:revision>2</cp:revision>
  <cp:lastPrinted>2020-11-09T10:01:00Z</cp:lastPrinted>
  <dcterms:created xsi:type="dcterms:W3CDTF">2021-06-17T09:32:00Z</dcterms:created>
  <dcterms:modified xsi:type="dcterms:W3CDTF">2021-06-17T09:32:00Z</dcterms:modified>
</cp:coreProperties>
</file>