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0C" w:rsidRDefault="005B210C">
      <w:pPr>
        <w:pStyle w:val="berschrift1"/>
        <w:spacing w:before="0" w:after="0" w:line="240" w:lineRule="auto"/>
        <w:jc w:val="both"/>
      </w:pPr>
      <w:bookmarkStart w:id="0" w:name="_GoBack"/>
      <w:bookmarkEnd w:id="0"/>
    </w:p>
    <w:p w:rsidR="005B210C" w:rsidRDefault="005B210C"/>
    <w:p w:rsidR="005B210C" w:rsidRDefault="00F92598">
      <w:pPr>
        <w:pStyle w:val="berschrift1"/>
        <w:spacing w:before="0" w:after="0" w:line="240" w:lineRule="auto"/>
        <w:jc w:val="both"/>
        <w:rPr>
          <w:rFonts w:cs="Arial"/>
        </w:rPr>
      </w:pPr>
      <w:r>
        <w:rPr>
          <w:rFonts w:cs="Arial"/>
        </w:rPr>
        <w:t xml:space="preserve">Druck der </w:t>
      </w:r>
      <w:r w:rsidR="00A2501F">
        <w:rPr>
          <w:rFonts w:cs="Arial"/>
        </w:rPr>
        <w:t>Patientenvertretung er</w:t>
      </w:r>
      <w:r>
        <w:rPr>
          <w:rFonts w:cs="Arial"/>
        </w:rPr>
        <w:t>folgreich</w:t>
      </w:r>
      <w:r w:rsidR="00A2501F">
        <w:rPr>
          <w:rFonts w:cs="Arial"/>
        </w:rPr>
        <w:t xml:space="preserve">: Festbetrag für </w:t>
      </w:r>
      <w:r w:rsidR="00EB1D8C">
        <w:rPr>
          <w:rFonts w:cs="Arial"/>
        </w:rPr>
        <w:br/>
      </w:r>
      <w:r w:rsidR="00A2501F">
        <w:rPr>
          <w:rFonts w:cs="Arial"/>
        </w:rPr>
        <w:t xml:space="preserve">Lithium </w:t>
      </w:r>
      <w:r>
        <w:rPr>
          <w:rFonts w:cs="Arial"/>
        </w:rPr>
        <w:t xml:space="preserve">wurde </w:t>
      </w:r>
      <w:r w:rsidR="00A2501F">
        <w:rPr>
          <w:rFonts w:cs="Arial"/>
        </w:rPr>
        <w:t>aufgehoben</w:t>
      </w:r>
    </w:p>
    <w:p w:rsidR="005B210C" w:rsidRDefault="005B210C">
      <w:pPr>
        <w:spacing w:line="240" w:lineRule="auto"/>
        <w:jc w:val="both"/>
        <w:rPr>
          <w:rFonts w:cs="Arial"/>
          <w:b/>
        </w:rPr>
      </w:pPr>
    </w:p>
    <w:p w:rsidR="005B210C" w:rsidRDefault="00A2501F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Der GKV-Spitzenverband hat am 07.11.2022 beschlossen, den Festbetrag von Lithium aufzuheben. Der Beschluss ist am 01.01.2023 in Kraft getreten (</w:t>
      </w:r>
      <w:hyperlink r:id="rId8" w:history="1">
        <w:r>
          <w:rPr>
            <w:rStyle w:val="Hyperlink"/>
            <w:rFonts w:cs="Arial"/>
            <w:b/>
          </w:rPr>
          <w:t>www.gkv-spitzenverband.de/am_festbetraege</w:t>
        </w:r>
      </w:hyperlink>
      <w:r>
        <w:rPr>
          <w:rFonts w:cs="Arial"/>
          <w:b/>
        </w:rPr>
        <w:t xml:space="preserve">). </w:t>
      </w:r>
    </w:p>
    <w:p w:rsidR="005B210C" w:rsidRDefault="005B210C">
      <w:pPr>
        <w:spacing w:line="240" w:lineRule="auto"/>
        <w:jc w:val="both"/>
        <w:rPr>
          <w:rFonts w:cs="Arial"/>
          <w:b/>
        </w:rPr>
      </w:pPr>
    </w:p>
    <w:p w:rsidR="005B210C" w:rsidRDefault="00A2501F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Festbetrag eines Arzneimittels legt fest, bis zu welchem Betrag die gesetzlichen Krankenkassen ein Fertigarzneimittel einer Wirkstoffgruppe – den sogenannten Festbetragsgruppen – bezahlen. </w:t>
      </w:r>
      <w:r w:rsidR="00F92598">
        <w:rPr>
          <w:rFonts w:cs="Arial"/>
          <w:szCs w:val="22"/>
        </w:rPr>
        <w:t>Es müssen aber auch Arzneimittel zum Festbetrag zu Verfügung stehen.</w:t>
      </w:r>
    </w:p>
    <w:p w:rsidR="005B210C" w:rsidRDefault="005B210C">
      <w:pPr>
        <w:spacing w:line="240" w:lineRule="auto"/>
        <w:jc w:val="both"/>
        <w:rPr>
          <w:rFonts w:cs="Arial"/>
          <w:szCs w:val="22"/>
        </w:rPr>
      </w:pPr>
    </w:p>
    <w:p w:rsidR="005B210C" w:rsidRDefault="00A2501F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Patientenorganisationen </w:t>
      </w:r>
      <w:r w:rsidR="00F92598">
        <w:rPr>
          <w:rFonts w:cs="Arial"/>
          <w:szCs w:val="22"/>
        </w:rPr>
        <w:t>beklagten schon lange</w:t>
      </w:r>
      <w:r>
        <w:rPr>
          <w:rFonts w:cs="Arial"/>
          <w:szCs w:val="22"/>
        </w:rPr>
        <w:t xml:space="preserve">, dass </w:t>
      </w:r>
      <w:proofErr w:type="spellStart"/>
      <w:proofErr w:type="gramStart"/>
      <w:r>
        <w:rPr>
          <w:rFonts w:cs="Arial"/>
          <w:szCs w:val="22"/>
        </w:rPr>
        <w:t>Patient</w:t>
      </w:r>
      <w:r w:rsidR="00E9083F">
        <w:rPr>
          <w:rFonts w:cs="Arial"/>
          <w:szCs w:val="22"/>
        </w:rPr>
        <w:t>:</w:t>
      </w:r>
      <w:r>
        <w:rPr>
          <w:rFonts w:cs="Arial"/>
          <w:szCs w:val="22"/>
        </w:rPr>
        <w:t>innen</w:t>
      </w:r>
      <w:proofErr w:type="spellEnd"/>
      <w:proofErr w:type="gramEnd"/>
      <w:r>
        <w:rPr>
          <w:rFonts w:cs="Arial"/>
          <w:szCs w:val="22"/>
        </w:rPr>
        <w:t xml:space="preserve"> bei einigen Medikamenten eine erhöhte </w:t>
      </w:r>
      <w:r w:rsidR="00F92598">
        <w:rPr>
          <w:rFonts w:cs="Arial"/>
          <w:szCs w:val="22"/>
        </w:rPr>
        <w:t>Auf</w:t>
      </w:r>
      <w:r>
        <w:rPr>
          <w:rFonts w:cs="Arial"/>
          <w:szCs w:val="22"/>
        </w:rPr>
        <w:t>zahlung leisten müssen</w:t>
      </w:r>
      <w:r w:rsidR="00F92598">
        <w:rPr>
          <w:rFonts w:cs="Arial"/>
          <w:szCs w:val="22"/>
        </w:rPr>
        <w:t xml:space="preserve"> und kein Präparat zum Festbetrag zur Verfügung stand. </w:t>
      </w:r>
      <w:r>
        <w:rPr>
          <w:rFonts w:cs="Arial"/>
          <w:szCs w:val="22"/>
        </w:rPr>
        <w:t xml:space="preserve">Dies kann durch einen zu niedrigen, festgelegten Festbetrag entstehen, wie zum Beispiel bei dem Wirkstoff Lithium, welches </w:t>
      </w:r>
      <w:r w:rsidR="00F92598">
        <w:rPr>
          <w:rFonts w:cs="Arial"/>
          <w:szCs w:val="22"/>
        </w:rPr>
        <w:t xml:space="preserve">als Standardmedikament </w:t>
      </w:r>
      <w:r>
        <w:rPr>
          <w:rFonts w:cs="Arial"/>
          <w:szCs w:val="22"/>
        </w:rPr>
        <w:t xml:space="preserve">zur Rezidivprophylaxe </w:t>
      </w:r>
      <w:r w:rsidR="00CC6792">
        <w:rPr>
          <w:rFonts w:cs="Arial"/>
          <w:szCs w:val="22"/>
        </w:rPr>
        <w:t>(Rückfallpro</w:t>
      </w:r>
      <w:r w:rsidR="007F53D5">
        <w:rPr>
          <w:rFonts w:cs="Arial"/>
          <w:szCs w:val="22"/>
        </w:rPr>
        <w:t>p</w:t>
      </w:r>
      <w:r w:rsidR="00CC6792">
        <w:rPr>
          <w:rFonts w:cs="Arial"/>
          <w:szCs w:val="22"/>
        </w:rPr>
        <w:t xml:space="preserve">hylaxe) </w:t>
      </w:r>
      <w:r>
        <w:rPr>
          <w:rFonts w:cs="Arial"/>
          <w:szCs w:val="22"/>
        </w:rPr>
        <w:t xml:space="preserve">von bipolarer Störung und Depression eingesetzt wird. Die Lithiumrohstoffpreise sind in den letzten Jahren stark angestiegen und somit auch die Preise der Hersteller, der Festbetrag </w:t>
      </w:r>
      <w:r w:rsidR="00F92598">
        <w:rPr>
          <w:rFonts w:cs="Arial"/>
          <w:szCs w:val="22"/>
        </w:rPr>
        <w:t>wurde zwar schon einmal angepasst</w:t>
      </w:r>
      <w:r w:rsidR="00673345">
        <w:rPr>
          <w:rFonts w:cs="Arial"/>
          <w:szCs w:val="22"/>
        </w:rPr>
        <w:t>, d</w:t>
      </w:r>
      <w:r w:rsidR="00F92598">
        <w:rPr>
          <w:rFonts w:cs="Arial"/>
          <w:szCs w:val="22"/>
        </w:rPr>
        <w:t>ies hatte aber zu keiner Verbesserung geführt.</w:t>
      </w:r>
      <w:r>
        <w:rPr>
          <w:rFonts w:cs="Arial"/>
          <w:szCs w:val="22"/>
        </w:rPr>
        <w:t xml:space="preserve"> </w:t>
      </w:r>
    </w:p>
    <w:p w:rsidR="005B210C" w:rsidRDefault="005B210C">
      <w:pPr>
        <w:spacing w:line="240" w:lineRule="auto"/>
        <w:jc w:val="both"/>
        <w:rPr>
          <w:rFonts w:cs="Arial"/>
          <w:szCs w:val="22"/>
        </w:rPr>
      </w:pPr>
    </w:p>
    <w:p w:rsidR="005B210C" w:rsidRDefault="00A2501F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="00E9083F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iele </w:t>
      </w:r>
      <w:proofErr w:type="spellStart"/>
      <w:proofErr w:type="gramStart"/>
      <w:r>
        <w:rPr>
          <w:rFonts w:cs="Arial"/>
          <w:szCs w:val="22"/>
        </w:rPr>
        <w:t>Patient</w:t>
      </w:r>
      <w:r w:rsidR="00E9083F">
        <w:rPr>
          <w:rFonts w:cs="Arial"/>
          <w:szCs w:val="22"/>
        </w:rPr>
        <w:t>:</w:t>
      </w:r>
      <w:r>
        <w:rPr>
          <w:rFonts w:cs="Arial"/>
          <w:szCs w:val="22"/>
        </w:rPr>
        <w:t>innen</w:t>
      </w:r>
      <w:proofErr w:type="spellEnd"/>
      <w:proofErr w:type="gramEnd"/>
      <w:r>
        <w:rPr>
          <w:rFonts w:cs="Arial"/>
          <w:szCs w:val="22"/>
        </w:rPr>
        <w:t xml:space="preserve"> berichten, dass sie für Ihre Medikamente </w:t>
      </w:r>
      <w:r>
        <w:rPr>
          <w:rFonts w:cs="Arial"/>
        </w:rPr>
        <w:t xml:space="preserve">hohe Zuzahlungen leisten müssen. Häufig </w:t>
      </w:r>
      <w:r>
        <w:rPr>
          <w:rFonts w:cs="Arial"/>
          <w:szCs w:val="22"/>
        </w:rPr>
        <w:t>ist aber ein Wechsel auf ein</w:t>
      </w:r>
      <w:r w:rsidR="00F92598">
        <w:rPr>
          <w:rFonts w:cs="Arial"/>
          <w:szCs w:val="22"/>
        </w:rPr>
        <w:t>en</w:t>
      </w:r>
      <w:r>
        <w:rPr>
          <w:rFonts w:cs="Arial"/>
          <w:szCs w:val="22"/>
        </w:rPr>
        <w:t xml:space="preserve"> andere</w:t>
      </w:r>
      <w:r w:rsidR="00F92598">
        <w:rPr>
          <w:rFonts w:cs="Arial"/>
          <w:szCs w:val="22"/>
        </w:rPr>
        <w:t>n Wirkstoff</w:t>
      </w:r>
      <w:r>
        <w:rPr>
          <w:rFonts w:cs="Arial"/>
          <w:szCs w:val="22"/>
        </w:rPr>
        <w:t xml:space="preserve"> aufgrund der Verträglichkeit sehr schwierig bis unmöglich, so dass hohe </w:t>
      </w:r>
      <w:r w:rsidR="00B30CC4">
        <w:rPr>
          <w:rFonts w:cs="Arial"/>
          <w:szCs w:val="22"/>
        </w:rPr>
        <w:t>Auf</w:t>
      </w:r>
      <w:r>
        <w:rPr>
          <w:rFonts w:cs="Arial"/>
          <w:szCs w:val="22"/>
        </w:rPr>
        <w:t xml:space="preserve">zahlungen, die vor allem einkommensschwache </w:t>
      </w:r>
      <w:proofErr w:type="spellStart"/>
      <w:proofErr w:type="gramStart"/>
      <w:r>
        <w:rPr>
          <w:rFonts w:cs="Arial"/>
          <w:szCs w:val="22"/>
        </w:rPr>
        <w:t>Patient</w:t>
      </w:r>
      <w:r w:rsidR="00E9083F">
        <w:rPr>
          <w:rFonts w:cs="Arial"/>
          <w:szCs w:val="22"/>
        </w:rPr>
        <w:t>:</w:t>
      </w:r>
      <w:r>
        <w:rPr>
          <w:rFonts w:cs="Arial"/>
          <w:szCs w:val="22"/>
        </w:rPr>
        <w:t>innen</w:t>
      </w:r>
      <w:proofErr w:type="spellEnd"/>
      <w:proofErr w:type="gramEnd"/>
      <w:r>
        <w:rPr>
          <w:rFonts w:cs="Arial"/>
          <w:szCs w:val="22"/>
        </w:rPr>
        <w:t xml:space="preserve"> immens belasten, für die „teureren“ Arzneimittel hingenommen werden müssen.</w:t>
      </w:r>
      <w:r w:rsidR="00E9083F">
        <w:rPr>
          <w:rFonts w:cs="Arial"/>
          <w:szCs w:val="22"/>
        </w:rPr>
        <w:t xml:space="preserve"> </w:t>
      </w:r>
      <w:r>
        <w:rPr>
          <w:rFonts w:cs="Arial"/>
        </w:rPr>
        <w:t xml:space="preserve">Daher ist die Entscheidung des GKV-Spitzenverbands </w:t>
      </w:r>
      <w:r w:rsidR="00B30CC4">
        <w:rPr>
          <w:rFonts w:cs="Arial"/>
        </w:rPr>
        <w:t>nur folgerichtig</w:t>
      </w:r>
      <w:r>
        <w:rPr>
          <w:rFonts w:cs="Arial"/>
        </w:rPr>
        <w:t xml:space="preserve"> und die Aufhebung des</w:t>
      </w:r>
      <w:r>
        <w:rPr>
          <w:rFonts w:cs="Arial"/>
          <w:szCs w:val="22"/>
        </w:rPr>
        <w:t xml:space="preserve"> Lithium</w:t>
      </w:r>
      <w:r w:rsidR="00A27DB4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Festbetrags ist für viele </w:t>
      </w:r>
      <w:proofErr w:type="spellStart"/>
      <w:proofErr w:type="gramStart"/>
      <w:r>
        <w:rPr>
          <w:rFonts w:cs="Arial"/>
          <w:szCs w:val="22"/>
        </w:rPr>
        <w:t>Patient</w:t>
      </w:r>
      <w:r w:rsidR="00E9083F">
        <w:rPr>
          <w:rFonts w:cs="Arial"/>
          <w:szCs w:val="22"/>
        </w:rPr>
        <w:t>:</w:t>
      </w:r>
      <w:r>
        <w:rPr>
          <w:rFonts w:cs="Arial"/>
          <w:szCs w:val="22"/>
        </w:rPr>
        <w:t>innen</w:t>
      </w:r>
      <w:proofErr w:type="spellEnd"/>
      <w:proofErr w:type="gramEnd"/>
      <w:r>
        <w:rPr>
          <w:rFonts w:cs="Arial"/>
          <w:szCs w:val="22"/>
        </w:rPr>
        <w:t xml:space="preserve"> eine große Erleichterung</w:t>
      </w:r>
      <w:r w:rsidR="00B30CC4">
        <w:rPr>
          <w:rFonts w:cs="Arial"/>
          <w:szCs w:val="22"/>
        </w:rPr>
        <w:t xml:space="preserve"> </w:t>
      </w:r>
      <w:r w:rsidR="00B30CC4" w:rsidRPr="00673345">
        <w:rPr>
          <w:rFonts w:cs="Arial"/>
          <w:szCs w:val="22"/>
        </w:rPr>
        <w:t>oder ein großer Erfolg der Patientenvertretung</w:t>
      </w:r>
      <w:r w:rsidR="00E9083F">
        <w:rPr>
          <w:rFonts w:cs="Arial"/>
          <w:szCs w:val="22"/>
        </w:rPr>
        <w:t>“</w:t>
      </w:r>
      <w:r>
        <w:rPr>
          <w:rFonts w:cs="Arial"/>
          <w:szCs w:val="22"/>
        </w:rPr>
        <w:t>, berichtet Horst Harich, Patientenvertreter der Deutschen Gesellschaft für Bipolare Störung.</w:t>
      </w:r>
    </w:p>
    <w:p w:rsidR="005B210C" w:rsidRDefault="005B210C">
      <w:pPr>
        <w:rPr>
          <w:rFonts w:cs="Arial"/>
        </w:rPr>
      </w:pPr>
    </w:p>
    <w:p w:rsidR="008244E3" w:rsidRDefault="008244E3">
      <w:pPr>
        <w:spacing w:line="240" w:lineRule="auto"/>
        <w:rPr>
          <w:rFonts w:cs="Arial"/>
          <w:sz w:val="20"/>
          <w:szCs w:val="20"/>
        </w:rPr>
      </w:pPr>
    </w:p>
    <w:p w:rsidR="008244E3" w:rsidRDefault="008244E3">
      <w:pPr>
        <w:spacing w:line="240" w:lineRule="auto"/>
        <w:rPr>
          <w:rFonts w:cs="Arial"/>
          <w:sz w:val="20"/>
          <w:szCs w:val="20"/>
        </w:rPr>
      </w:pPr>
    </w:p>
    <w:p w:rsidR="005B210C" w:rsidRDefault="00A2501F">
      <w:pPr>
        <w:spacing w:line="240" w:lineRule="auto"/>
        <w:rPr>
          <w:rStyle w:val="Hyperlink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Kontakt: Horst Harich, Patientenvertreter, Deutsche Gesellschaft für Bipolare Störung, </w:t>
      </w:r>
      <w:r>
        <w:rPr>
          <w:rFonts w:cs="Arial"/>
          <w:sz w:val="20"/>
          <w:szCs w:val="20"/>
        </w:rPr>
        <w:br/>
        <w:t xml:space="preserve">E-Mail: </w:t>
      </w:r>
      <w:hyperlink r:id="rId9" w:history="1">
        <w:r>
          <w:rPr>
            <w:rStyle w:val="Hyperlink"/>
            <w:rFonts w:cs="Arial"/>
            <w:sz w:val="20"/>
            <w:szCs w:val="20"/>
          </w:rPr>
          <w:t>h.harich@dgbs.de</w:t>
        </w:r>
      </w:hyperlink>
    </w:p>
    <w:p w:rsidR="005B210C" w:rsidRDefault="005B210C">
      <w:pPr>
        <w:spacing w:line="240" w:lineRule="auto"/>
        <w:jc w:val="both"/>
        <w:rPr>
          <w:rFonts w:cs="Arial"/>
          <w:sz w:val="20"/>
          <w:szCs w:val="20"/>
        </w:rPr>
      </w:pPr>
    </w:p>
    <w:p w:rsidR="005B210C" w:rsidRDefault="005B210C">
      <w:pPr>
        <w:spacing w:line="240" w:lineRule="auto"/>
        <w:jc w:val="both"/>
        <w:rPr>
          <w:rFonts w:cs="Arial"/>
          <w:sz w:val="20"/>
          <w:szCs w:val="20"/>
        </w:rPr>
      </w:pPr>
    </w:p>
    <w:p w:rsidR="005B210C" w:rsidRDefault="005B210C">
      <w:pPr>
        <w:spacing w:line="240" w:lineRule="auto"/>
        <w:jc w:val="both"/>
        <w:rPr>
          <w:rFonts w:cs="Arial"/>
          <w:sz w:val="20"/>
          <w:szCs w:val="20"/>
        </w:rPr>
      </w:pP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</w:t>
      </w: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Die Patientenvertretung im G-BA besteht aus </w:t>
      </w:r>
      <w:proofErr w:type="spellStart"/>
      <w:proofErr w:type="gramStart"/>
      <w:r>
        <w:rPr>
          <w:rFonts w:cs="Arial"/>
          <w:sz w:val="18"/>
          <w:szCs w:val="18"/>
        </w:rPr>
        <w:t>Vertreter</w:t>
      </w:r>
      <w:r w:rsidR="00E9083F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>innen</w:t>
      </w:r>
      <w:proofErr w:type="spellEnd"/>
      <w:proofErr w:type="gramEnd"/>
      <w:r>
        <w:rPr>
          <w:rFonts w:cs="Arial"/>
          <w:sz w:val="18"/>
          <w:szCs w:val="18"/>
        </w:rPr>
        <w:t xml:space="preserve"> der vier maßgeblichen Patientenorganisationen entsprechend der Patientenbeteiligungsverordnung: 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Deutscher Behindertenrat,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Bundesarbeitsgemeinschaft Patient*Innenstellen und -initiativen,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 Arbeitsgemeinschaft Selbsthilfegruppen e.V.</w:t>
      </w:r>
    </w:p>
    <w:p w:rsidR="005B210C" w:rsidRDefault="00A2501F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Verbraucherzentrale Bundesverband e.V.</w:t>
      </w:r>
    </w:p>
    <w:p w:rsidR="005B210C" w:rsidRDefault="005B210C">
      <w:pPr>
        <w:jc w:val="both"/>
        <w:rPr>
          <w:rFonts w:cs="Arial"/>
          <w:sz w:val="18"/>
          <w:szCs w:val="18"/>
        </w:rPr>
      </w:pPr>
    </w:p>
    <w:p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5B2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1F" w:rsidRDefault="00A2501F">
      <w:r>
        <w:separator/>
      </w:r>
    </w:p>
  </w:endnote>
  <w:endnote w:type="continuationSeparator" w:id="0">
    <w:p w:rsidR="00A2501F" w:rsidRDefault="00A2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5B21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5B21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5B21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1F" w:rsidRDefault="00A2501F">
      <w:r>
        <w:separator/>
      </w:r>
    </w:p>
  </w:footnote>
  <w:footnote w:type="continuationSeparator" w:id="0">
    <w:p w:rsidR="00A2501F" w:rsidRDefault="00A2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5B21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A2501F">
    <w:pPr>
      <w:pStyle w:val="Kopfzeile"/>
    </w:pPr>
    <w:r>
      <w:rPr>
        <w:noProof/>
      </w:rPr>
      <w:drawing>
        <wp:inline distT="0" distB="0" distL="0" distR="0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0C" w:rsidRDefault="005B21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9D9"/>
    <w:multiLevelType w:val="hybridMultilevel"/>
    <w:tmpl w:val="EC46EDA2"/>
    <w:lvl w:ilvl="0" w:tplc="EF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52F8"/>
    <w:multiLevelType w:val="hybridMultilevel"/>
    <w:tmpl w:val="9FE6CD80"/>
    <w:lvl w:ilvl="0" w:tplc="4560CA9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0C"/>
    <w:rsid w:val="000351F5"/>
    <w:rsid w:val="00592999"/>
    <w:rsid w:val="005B210C"/>
    <w:rsid w:val="00673345"/>
    <w:rsid w:val="006B6DDE"/>
    <w:rsid w:val="007C23B7"/>
    <w:rsid w:val="007C79FC"/>
    <w:rsid w:val="007F53D5"/>
    <w:rsid w:val="008244E3"/>
    <w:rsid w:val="00A2501F"/>
    <w:rsid w:val="00A27DB4"/>
    <w:rsid w:val="00B30CC4"/>
    <w:rsid w:val="00CC6792"/>
    <w:rsid w:val="00E9083F"/>
    <w:rsid w:val="00EB1D8C"/>
    <w:rsid w:val="00EB3E72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KeinLeerraum">
    <w:name w:val="No Spacing"/>
    <w:uiPriority w:val="1"/>
    <w:qFormat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-spitzenverband.de/am_festbetrae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.harich@dgbs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E50F-19CF-4B77-9C5D-B867ABC9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2320</Characters>
  <Application>Microsoft Office Word</Application>
  <DocSecurity>0</DocSecurity>
  <Lines>50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2</cp:revision>
  <cp:lastPrinted>2015-09-29T09:49:00Z</cp:lastPrinted>
  <dcterms:created xsi:type="dcterms:W3CDTF">2023-01-19T13:39:00Z</dcterms:created>
  <dcterms:modified xsi:type="dcterms:W3CDTF">2023-01-19T13:39:00Z</dcterms:modified>
</cp:coreProperties>
</file>