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61" w:rsidRDefault="00C84961" w:rsidP="00C84961">
      <w:pPr>
        <w:pStyle w:val="berschrift2"/>
        <w:jc w:val="center"/>
      </w:pPr>
      <w:r>
        <w:t xml:space="preserve">Handlungsleitfaden </w:t>
      </w:r>
    </w:p>
    <w:p w:rsidR="00D64070" w:rsidRDefault="00C84961" w:rsidP="00C84961">
      <w:pPr>
        <w:pStyle w:val="berschrift2"/>
        <w:jc w:val="center"/>
      </w:pPr>
      <w:r>
        <w:t>D-A-C-H</w:t>
      </w:r>
    </w:p>
    <w:p w:rsidR="00C84961" w:rsidRPr="00C84961" w:rsidRDefault="00D64070" w:rsidP="00C84961">
      <w:pPr>
        <w:pStyle w:val="berschrift2"/>
        <w:jc w:val="center"/>
      </w:pPr>
      <w:r>
        <w:t>„</w:t>
      </w:r>
      <w:r w:rsidR="00C549C9">
        <w:t>Selbsthilfearbeit durch grenzübers</w:t>
      </w:r>
      <w:r w:rsidR="00C84961">
        <w:t>chreitenden Austausch bereichern“</w:t>
      </w:r>
    </w:p>
    <w:p w:rsidR="00AB50CB" w:rsidRDefault="00AB50CB"/>
    <w:p w:rsidR="008A4C7F" w:rsidRDefault="008A4C7F" w:rsidP="00AB50CB">
      <w:pPr>
        <w:rPr>
          <w:b/>
          <w:sz w:val="28"/>
          <w:szCs w:val="28"/>
        </w:rPr>
      </w:pPr>
    </w:p>
    <w:p w:rsidR="00E772CD" w:rsidRPr="00120931" w:rsidRDefault="00C84961" w:rsidP="004B608A">
      <w:pPr>
        <w:pStyle w:val="berschrift3"/>
        <w:numPr>
          <w:ilvl w:val="0"/>
          <w:numId w:val="15"/>
        </w:numPr>
        <w:spacing w:line="360" w:lineRule="auto"/>
        <w:rPr>
          <w:sz w:val="24"/>
        </w:rPr>
      </w:pPr>
      <w:r w:rsidRPr="00120931">
        <w:rPr>
          <w:sz w:val="24"/>
        </w:rPr>
        <w:t>Einführung</w:t>
      </w:r>
    </w:p>
    <w:p w:rsidR="00F2752A" w:rsidRPr="00557FB1" w:rsidRDefault="00F370F2" w:rsidP="004B608A">
      <w:pPr>
        <w:pStyle w:val="StandardWeb"/>
        <w:spacing w:line="360" w:lineRule="auto"/>
        <w:rPr>
          <w:rFonts w:ascii="Trebuchet MS" w:hAnsi="Trebuchet MS"/>
        </w:rPr>
      </w:pPr>
      <w:r w:rsidRPr="00557FB1">
        <w:rPr>
          <w:rFonts w:ascii="Trebuchet MS" w:hAnsi="Trebuchet MS"/>
        </w:rPr>
        <w:t>Europa wächst immer stärker zusammen</w:t>
      </w:r>
      <w:r w:rsidR="00F2752A" w:rsidRPr="00557FB1">
        <w:rPr>
          <w:rFonts w:ascii="Trebuchet MS" w:hAnsi="Trebuchet MS"/>
        </w:rPr>
        <w:t>; nationale Grenzen</w:t>
      </w:r>
      <w:r w:rsidRPr="00557FB1">
        <w:rPr>
          <w:rFonts w:ascii="Trebuchet MS" w:hAnsi="Trebuchet MS"/>
        </w:rPr>
        <w:t xml:space="preserve"> verlieren </w:t>
      </w:r>
      <w:r w:rsidR="00F2752A" w:rsidRPr="00557FB1">
        <w:rPr>
          <w:rFonts w:ascii="Trebuchet MS" w:hAnsi="Trebuchet MS"/>
        </w:rPr>
        <w:t>an Bede</w:t>
      </w:r>
      <w:r w:rsidR="00F2752A" w:rsidRPr="00557FB1">
        <w:rPr>
          <w:rFonts w:ascii="Trebuchet MS" w:hAnsi="Trebuchet MS"/>
        </w:rPr>
        <w:t>u</w:t>
      </w:r>
      <w:r w:rsidR="00F2752A" w:rsidRPr="00557FB1">
        <w:rPr>
          <w:rFonts w:ascii="Trebuchet MS" w:hAnsi="Trebuchet MS"/>
        </w:rPr>
        <w:t>tung. Die</w:t>
      </w:r>
      <w:r w:rsidRPr="00557FB1">
        <w:rPr>
          <w:rFonts w:ascii="Trebuchet MS" w:hAnsi="Trebuchet MS"/>
        </w:rPr>
        <w:t xml:space="preserve"> grenzüberschreitende Mobilität der Bevölkerung nimmt zu. </w:t>
      </w:r>
      <w:r w:rsidR="00557FB1" w:rsidRPr="00557FB1">
        <w:rPr>
          <w:rFonts w:ascii="Trebuchet MS" w:hAnsi="Trebuchet MS"/>
        </w:rPr>
        <w:t>Gl</w:t>
      </w:r>
      <w:r w:rsidR="00A0642F">
        <w:rPr>
          <w:rFonts w:ascii="Trebuchet MS" w:hAnsi="Trebuchet MS"/>
        </w:rPr>
        <w:t>eichzeitig können Grenzen</w:t>
      </w:r>
      <w:r w:rsidR="00557FB1" w:rsidRPr="00557FB1">
        <w:rPr>
          <w:rFonts w:ascii="Trebuchet MS" w:hAnsi="Trebuchet MS"/>
        </w:rPr>
        <w:t xml:space="preserve"> auch</w:t>
      </w:r>
      <w:r w:rsidR="00A0642F">
        <w:rPr>
          <w:rFonts w:ascii="Trebuchet MS" w:hAnsi="Trebuchet MS"/>
        </w:rPr>
        <w:t xml:space="preserve"> der Abgrenzung dienen und </w:t>
      </w:r>
      <w:r w:rsidR="00557FB1" w:rsidRPr="00557FB1">
        <w:rPr>
          <w:rFonts w:ascii="Trebuchet MS" w:hAnsi="Trebuchet MS"/>
        </w:rPr>
        <w:t>ein</w:t>
      </w:r>
      <w:r w:rsidR="00A0642F">
        <w:rPr>
          <w:rFonts w:ascii="Trebuchet MS" w:hAnsi="Trebuchet MS"/>
        </w:rPr>
        <w:t>en</w:t>
      </w:r>
      <w:r w:rsidR="00557FB1" w:rsidRPr="00557FB1">
        <w:rPr>
          <w:rFonts w:ascii="Trebuchet MS" w:hAnsi="Trebuchet MS"/>
        </w:rPr>
        <w:t xml:space="preserve"> Nährboden für Vorurteile, Misstrau</w:t>
      </w:r>
      <w:r w:rsidR="00A0642F">
        <w:rPr>
          <w:rFonts w:ascii="Trebuchet MS" w:hAnsi="Trebuchet MS"/>
        </w:rPr>
        <w:t>en und Berührungsängste bieten</w:t>
      </w:r>
      <w:r w:rsidR="00557FB1" w:rsidRPr="00557FB1">
        <w:rPr>
          <w:rFonts w:ascii="Trebuchet MS" w:hAnsi="Trebuchet MS"/>
        </w:rPr>
        <w:t>. Sobald jedoch Menschen beginnen, Kontakte zu knüpfen und gemeinsame Interessen zu erkennen, erwachsen daraus Partnerschaft und Kooperation.</w:t>
      </w:r>
    </w:p>
    <w:p w:rsidR="00F370F2" w:rsidRPr="004B608A" w:rsidRDefault="00F370F2" w:rsidP="004B608A">
      <w:pPr>
        <w:pStyle w:val="StandardWeb"/>
        <w:spacing w:line="360" w:lineRule="auto"/>
        <w:rPr>
          <w:rFonts w:ascii="Trebuchet MS" w:hAnsi="Trebuchet MS"/>
        </w:rPr>
      </w:pPr>
      <w:r w:rsidRPr="00557FB1">
        <w:rPr>
          <w:rFonts w:ascii="Trebuchet MS" w:hAnsi="Trebuchet MS"/>
        </w:rPr>
        <w:t xml:space="preserve">Auch die Selbsthilfe </w:t>
      </w:r>
      <w:r w:rsidR="00F2752A" w:rsidRPr="00557FB1">
        <w:rPr>
          <w:rFonts w:ascii="Trebuchet MS" w:hAnsi="Trebuchet MS"/>
        </w:rPr>
        <w:t>war</w:t>
      </w:r>
      <w:r w:rsidRPr="00557FB1">
        <w:rPr>
          <w:rFonts w:ascii="Trebuchet MS" w:hAnsi="Trebuchet MS"/>
        </w:rPr>
        <w:t xml:space="preserve"> seit jeher </w:t>
      </w:r>
      <w:r w:rsidR="00557FB1" w:rsidRPr="00557FB1">
        <w:rPr>
          <w:rFonts w:ascii="Trebuchet MS" w:hAnsi="Trebuchet MS"/>
        </w:rPr>
        <w:t xml:space="preserve">– auch aus diesem Grund - </w:t>
      </w:r>
      <w:r w:rsidRPr="00557FB1">
        <w:rPr>
          <w:rFonts w:ascii="Trebuchet MS" w:hAnsi="Trebuchet MS"/>
        </w:rPr>
        <w:t xml:space="preserve">an einem Austausch </w:t>
      </w:r>
      <w:r w:rsidRPr="004B608A">
        <w:rPr>
          <w:rFonts w:ascii="Trebuchet MS" w:hAnsi="Trebuchet MS"/>
        </w:rPr>
        <w:t>mit Menschen aus anderen Ländern interessiert; häuf</w:t>
      </w:r>
      <w:r w:rsidR="00A0642F">
        <w:rPr>
          <w:rFonts w:ascii="Trebuchet MS" w:hAnsi="Trebuchet MS"/>
        </w:rPr>
        <w:t>ig blieb dieser Austausch auf die –sicherlich sehr wichtige - Diskussion</w:t>
      </w:r>
      <w:r w:rsidRPr="004B608A">
        <w:rPr>
          <w:rFonts w:ascii="Trebuchet MS" w:hAnsi="Trebuchet MS"/>
        </w:rPr>
        <w:t xml:space="preserve"> der neuesten Forschungsergebnisse der jeweiligen Erkrankung beschränkt.</w:t>
      </w:r>
      <w:r w:rsidR="00BB0DEB">
        <w:rPr>
          <w:rFonts w:ascii="Trebuchet MS" w:hAnsi="Trebuchet MS"/>
        </w:rPr>
        <w:t xml:space="preserve"> Damit geht jedoch</w:t>
      </w:r>
      <w:r w:rsidR="00A0642F">
        <w:rPr>
          <w:rFonts w:ascii="Trebuchet MS" w:hAnsi="Trebuchet MS"/>
        </w:rPr>
        <w:t xml:space="preserve"> die Chance verloren, neue Ideen zur Verbesserung der Alltagsgestaltung</w:t>
      </w:r>
      <w:r w:rsidR="00492C68">
        <w:rPr>
          <w:rFonts w:ascii="Trebuchet MS" w:hAnsi="Trebuchet MS"/>
        </w:rPr>
        <w:t>, zur Fortentwicklung der Selbsthilfe</w:t>
      </w:r>
      <w:r w:rsidR="00A0642F">
        <w:rPr>
          <w:rFonts w:ascii="Trebuchet MS" w:hAnsi="Trebuchet MS"/>
        </w:rPr>
        <w:t xml:space="preserve"> oder zur besseren Krankheitsbewältigung zu entwickeln.</w:t>
      </w:r>
    </w:p>
    <w:p w:rsidR="00DD5D4B" w:rsidRPr="004B608A" w:rsidRDefault="00DD5D4B" w:rsidP="004B608A">
      <w:pPr>
        <w:pStyle w:val="StandardWeb"/>
        <w:spacing w:line="360" w:lineRule="auto"/>
        <w:rPr>
          <w:rFonts w:ascii="Trebuchet MS" w:hAnsi="Trebuchet MS"/>
        </w:rPr>
      </w:pPr>
      <w:r w:rsidRPr="004B608A">
        <w:rPr>
          <w:rFonts w:ascii="Trebuchet MS" w:hAnsi="Trebuchet MS"/>
        </w:rPr>
        <w:t>Vielfach dür</w:t>
      </w:r>
      <w:r w:rsidR="00F2752A" w:rsidRPr="004B608A">
        <w:rPr>
          <w:rFonts w:ascii="Trebuchet MS" w:hAnsi="Trebuchet MS"/>
        </w:rPr>
        <w:t xml:space="preserve">fte dieser fehlende Austausch </w:t>
      </w:r>
      <w:r w:rsidRPr="004B608A">
        <w:rPr>
          <w:rFonts w:ascii="Trebuchet MS" w:hAnsi="Trebuchet MS"/>
        </w:rPr>
        <w:t>an den Sprachbarrieren liegen; in anderen Fällen sind die Systeme der Gesundh</w:t>
      </w:r>
      <w:r w:rsidR="00A0642F">
        <w:rPr>
          <w:rFonts w:ascii="Trebuchet MS" w:hAnsi="Trebuchet MS"/>
        </w:rPr>
        <w:t>eitsversorgung oft so unterschiedlich und undurchschaubar</w:t>
      </w:r>
      <w:r w:rsidRPr="004B608A">
        <w:rPr>
          <w:rFonts w:ascii="Trebuchet MS" w:hAnsi="Trebuchet MS"/>
        </w:rPr>
        <w:t xml:space="preserve">, dass gemeinsame Strategien </w:t>
      </w:r>
      <w:r w:rsidR="00492C68">
        <w:rPr>
          <w:rFonts w:ascii="Trebuchet MS" w:hAnsi="Trebuchet MS"/>
        </w:rPr>
        <w:t xml:space="preserve">oder das Lernen vom anderen </w:t>
      </w:r>
      <w:r w:rsidRPr="004B608A">
        <w:rPr>
          <w:rFonts w:ascii="Trebuchet MS" w:hAnsi="Trebuchet MS"/>
        </w:rPr>
        <w:t xml:space="preserve">zunächst </w:t>
      </w:r>
      <w:r w:rsidR="00BB0DEB">
        <w:rPr>
          <w:rFonts w:ascii="Trebuchet MS" w:hAnsi="Trebuchet MS"/>
        </w:rPr>
        <w:t>zu schwierig erscheint, als dass man sich darauf einlässt</w:t>
      </w:r>
      <w:r w:rsidRPr="004B608A">
        <w:rPr>
          <w:rFonts w:ascii="Trebuchet MS" w:hAnsi="Trebuchet MS"/>
        </w:rPr>
        <w:t>. Beide Probleme greift der vorliegende Handlungs</w:t>
      </w:r>
      <w:r w:rsidR="00F2752A" w:rsidRPr="004B608A">
        <w:rPr>
          <w:rFonts w:ascii="Trebuchet MS" w:hAnsi="Trebuchet MS"/>
        </w:rPr>
        <w:t>leitfaden auf</w:t>
      </w:r>
      <w:r w:rsidR="00492C68">
        <w:rPr>
          <w:rFonts w:ascii="Trebuchet MS" w:hAnsi="Trebuchet MS"/>
        </w:rPr>
        <w:t>: Die Diskussion über d</w:t>
      </w:r>
      <w:r w:rsidR="00F2752A" w:rsidRPr="004B608A">
        <w:rPr>
          <w:rFonts w:ascii="Trebuchet MS" w:hAnsi="Trebuchet MS"/>
        </w:rPr>
        <w:t>en grenzübe</w:t>
      </w:r>
      <w:r w:rsidR="00F2752A" w:rsidRPr="004B608A">
        <w:rPr>
          <w:rFonts w:ascii="Trebuchet MS" w:hAnsi="Trebuchet MS"/>
        </w:rPr>
        <w:t>r</w:t>
      </w:r>
      <w:r w:rsidR="00F2752A" w:rsidRPr="004B608A">
        <w:rPr>
          <w:rFonts w:ascii="Trebuchet MS" w:hAnsi="Trebuchet MS"/>
        </w:rPr>
        <w:t>schreitenden Austausch</w:t>
      </w:r>
      <w:r w:rsidR="00492C68">
        <w:rPr>
          <w:rFonts w:ascii="Trebuchet MS" w:hAnsi="Trebuchet MS"/>
        </w:rPr>
        <w:t xml:space="preserve"> ist</w:t>
      </w:r>
      <w:r w:rsidR="00F2752A" w:rsidRPr="004B608A">
        <w:rPr>
          <w:rFonts w:ascii="Trebuchet MS" w:hAnsi="Trebuchet MS"/>
        </w:rPr>
        <w:t xml:space="preserve"> zunächst auf das deutschsprachige Ausland</w:t>
      </w:r>
      <w:r w:rsidR="004B608A" w:rsidRPr="004B608A">
        <w:rPr>
          <w:rFonts w:ascii="Trebuchet MS" w:hAnsi="Trebuchet MS"/>
        </w:rPr>
        <w:t xml:space="preserve"> beschränkt</w:t>
      </w:r>
      <w:r w:rsidR="00F2752A" w:rsidRPr="004B608A">
        <w:rPr>
          <w:rFonts w:ascii="Trebuchet MS" w:hAnsi="Trebuchet MS"/>
        </w:rPr>
        <w:t>; g</w:t>
      </w:r>
      <w:r w:rsidR="004B608A" w:rsidRPr="004B608A">
        <w:rPr>
          <w:rFonts w:ascii="Trebuchet MS" w:hAnsi="Trebuchet MS"/>
        </w:rPr>
        <w:t>leichzeitig werden</w:t>
      </w:r>
      <w:r w:rsidR="00F2752A" w:rsidRPr="004B608A">
        <w:rPr>
          <w:rFonts w:ascii="Trebuchet MS" w:hAnsi="Trebuchet MS"/>
        </w:rPr>
        <w:t xml:space="preserve"> die </w:t>
      </w:r>
      <w:r w:rsidRPr="004B608A">
        <w:rPr>
          <w:rFonts w:ascii="Trebuchet MS" w:hAnsi="Trebuchet MS"/>
        </w:rPr>
        <w:t>Gemeinsamkeiten und Unterschiede der drei Gesundheit</w:t>
      </w:r>
      <w:r w:rsidRPr="004B608A">
        <w:rPr>
          <w:rFonts w:ascii="Trebuchet MS" w:hAnsi="Trebuchet MS"/>
        </w:rPr>
        <w:t>s</w:t>
      </w:r>
      <w:r w:rsidRPr="004B608A">
        <w:rPr>
          <w:rFonts w:ascii="Trebuchet MS" w:hAnsi="Trebuchet MS"/>
        </w:rPr>
        <w:t>systeme</w:t>
      </w:r>
      <w:r w:rsidR="00F2752A" w:rsidRPr="004B608A">
        <w:rPr>
          <w:rFonts w:ascii="Trebuchet MS" w:hAnsi="Trebuchet MS"/>
        </w:rPr>
        <w:t xml:space="preserve"> sowie die Ausgestaltung der Selbsthilfe in den drei Ländern</w:t>
      </w:r>
      <w:r w:rsidR="004B608A" w:rsidRPr="004B608A">
        <w:rPr>
          <w:rFonts w:ascii="Trebuchet MS" w:hAnsi="Trebuchet MS"/>
        </w:rPr>
        <w:t xml:space="preserve"> dargestellt</w:t>
      </w:r>
      <w:r w:rsidR="00F2752A" w:rsidRPr="004B608A">
        <w:rPr>
          <w:rFonts w:ascii="Trebuchet MS" w:hAnsi="Trebuchet MS"/>
        </w:rPr>
        <w:t xml:space="preserve">. </w:t>
      </w:r>
      <w:r w:rsidR="0002308A" w:rsidRPr="004B608A">
        <w:rPr>
          <w:rFonts w:ascii="Trebuchet MS" w:hAnsi="Trebuchet MS"/>
        </w:rPr>
        <w:t>So bietet sie einerseits deutschen Selbsthilfeorganisationen und Gruppen eine Hilf</w:t>
      </w:r>
      <w:r w:rsidR="0002308A" w:rsidRPr="004B608A">
        <w:rPr>
          <w:rFonts w:ascii="Trebuchet MS" w:hAnsi="Trebuchet MS"/>
        </w:rPr>
        <w:t>e</w:t>
      </w:r>
      <w:r w:rsidR="0002308A" w:rsidRPr="004B608A">
        <w:rPr>
          <w:rFonts w:ascii="Trebuchet MS" w:hAnsi="Trebuchet MS"/>
        </w:rPr>
        <w:lastRenderedPageBreak/>
        <w:t>stellung für „ihren“ Austausch mit österreichischen und schweizerischen Schwe</w:t>
      </w:r>
      <w:r w:rsidR="0002308A" w:rsidRPr="004B608A">
        <w:rPr>
          <w:rFonts w:ascii="Trebuchet MS" w:hAnsi="Trebuchet MS"/>
        </w:rPr>
        <w:t>s</w:t>
      </w:r>
      <w:r w:rsidR="0002308A" w:rsidRPr="004B608A">
        <w:rPr>
          <w:rFonts w:ascii="Trebuchet MS" w:hAnsi="Trebuchet MS"/>
        </w:rPr>
        <w:t>terorganisationen, andererseits aber auch österreichischen und schweizer Organis</w:t>
      </w:r>
      <w:r w:rsidR="0002308A" w:rsidRPr="004B608A">
        <w:rPr>
          <w:rFonts w:ascii="Trebuchet MS" w:hAnsi="Trebuchet MS"/>
        </w:rPr>
        <w:t>a</w:t>
      </w:r>
      <w:r w:rsidR="0002308A" w:rsidRPr="004B608A">
        <w:rPr>
          <w:rFonts w:ascii="Trebuchet MS" w:hAnsi="Trebuchet MS"/>
        </w:rPr>
        <w:t xml:space="preserve">tionen ein besseres Verständnis des deutschen Gesundheitssystems </w:t>
      </w:r>
      <w:r w:rsidR="0002308A" w:rsidRPr="00DD459F">
        <w:rPr>
          <w:rFonts w:ascii="Trebuchet MS" w:hAnsi="Trebuchet MS"/>
        </w:rPr>
        <w:t xml:space="preserve">und den an ihm beteiligten Akteuren. </w:t>
      </w:r>
      <w:r w:rsidR="00A0642F" w:rsidRPr="00DD459F">
        <w:rPr>
          <w:rFonts w:ascii="Trebuchet MS" w:hAnsi="Trebuchet MS"/>
        </w:rPr>
        <w:t>Über Beispiele soll sie zudem Möglichkeiten für den</w:t>
      </w:r>
      <w:r w:rsidR="00A0642F">
        <w:rPr>
          <w:rFonts w:ascii="Trebuchet MS" w:hAnsi="Trebuchet MS"/>
        </w:rPr>
        <w:t xml:space="preserve"> gren</w:t>
      </w:r>
      <w:r w:rsidR="00A0642F">
        <w:rPr>
          <w:rFonts w:ascii="Trebuchet MS" w:hAnsi="Trebuchet MS"/>
        </w:rPr>
        <w:t>z</w:t>
      </w:r>
      <w:r w:rsidR="00A0642F">
        <w:rPr>
          <w:rFonts w:ascii="Trebuchet MS" w:hAnsi="Trebuchet MS"/>
        </w:rPr>
        <w:t>überschreitenden Austausch b</w:t>
      </w:r>
      <w:r w:rsidR="00492C68">
        <w:rPr>
          <w:rFonts w:ascii="Trebuchet MS" w:hAnsi="Trebuchet MS"/>
        </w:rPr>
        <w:t>ieten, insbesondere im Hinblick auf innovative Ansätze.</w:t>
      </w:r>
    </w:p>
    <w:p w:rsidR="00DD5D4B" w:rsidRPr="004B608A" w:rsidRDefault="00DD5D4B" w:rsidP="004B608A">
      <w:pPr>
        <w:pStyle w:val="StandardWeb"/>
        <w:numPr>
          <w:ilvl w:val="0"/>
          <w:numId w:val="15"/>
        </w:numPr>
        <w:spacing w:line="360" w:lineRule="auto"/>
        <w:rPr>
          <w:rFonts w:ascii="Trebuchet MS" w:hAnsi="Trebuchet MS"/>
          <w:b/>
        </w:rPr>
      </w:pPr>
      <w:r w:rsidRPr="004B608A">
        <w:rPr>
          <w:rFonts w:ascii="Trebuchet MS" w:hAnsi="Trebuchet MS"/>
          <w:b/>
        </w:rPr>
        <w:t>Potentiale: Warum ist ein grenzüberschreitender Austausch wichtig und notwendig?</w:t>
      </w:r>
    </w:p>
    <w:p w:rsidR="00F370F2" w:rsidRPr="00372AB4" w:rsidRDefault="004B608A" w:rsidP="00372AB4">
      <w:pPr>
        <w:pStyle w:val="StandardWeb"/>
        <w:spacing w:line="360" w:lineRule="auto"/>
        <w:rPr>
          <w:rFonts w:ascii="Trebuchet MS" w:hAnsi="Trebuchet MS"/>
        </w:rPr>
      </w:pPr>
      <w:r w:rsidRPr="00372AB4">
        <w:rPr>
          <w:rFonts w:ascii="Trebuchet MS" w:hAnsi="Trebuchet MS"/>
        </w:rPr>
        <w:t>Der Austausch mit anderen hat schon immer geholfen, eigene Probleme im Gesun</w:t>
      </w:r>
      <w:r w:rsidRPr="00372AB4">
        <w:rPr>
          <w:rFonts w:ascii="Trebuchet MS" w:hAnsi="Trebuchet MS"/>
        </w:rPr>
        <w:t>d</w:t>
      </w:r>
      <w:r w:rsidRPr="00372AB4">
        <w:rPr>
          <w:rFonts w:ascii="Trebuchet MS" w:hAnsi="Trebuchet MS"/>
        </w:rPr>
        <w:t>heitssystem besser zu lösen. So ist etwa das AMNOG-Verfahren aus einem schott</w:t>
      </w:r>
      <w:r w:rsidRPr="00372AB4">
        <w:rPr>
          <w:rFonts w:ascii="Trebuchet MS" w:hAnsi="Trebuchet MS"/>
        </w:rPr>
        <w:t>i</w:t>
      </w:r>
      <w:r w:rsidRPr="00372AB4">
        <w:rPr>
          <w:rFonts w:ascii="Trebuchet MS" w:hAnsi="Trebuchet MS"/>
        </w:rPr>
        <w:t xml:space="preserve">schen Modell heraus entstanden, </w:t>
      </w:r>
      <w:r w:rsidR="00372AB4" w:rsidRPr="00372AB4">
        <w:rPr>
          <w:rFonts w:ascii="Trebuchet MS" w:hAnsi="Trebuchet MS"/>
        </w:rPr>
        <w:t>das DRG (Fallp</w:t>
      </w:r>
      <w:r w:rsidR="00A0642F">
        <w:rPr>
          <w:rFonts w:ascii="Trebuchet MS" w:hAnsi="Trebuchet MS"/>
        </w:rPr>
        <w:t xml:space="preserve">auschalen-) System wurde nach </w:t>
      </w:r>
      <w:r w:rsidR="00372AB4" w:rsidRPr="00372AB4">
        <w:rPr>
          <w:rFonts w:ascii="Trebuchet MS" w:hAnsi="Trebuchet MS"/>
        </w:rPr>
        <w:t>einem australischen Vorbild entwickelt.</w:t>
      </w:r>
      <w:r w:rsidRPr="00372AB4">
        <w:rPr>
          <w:rFonts w:ascii="Trebuchet MS" w:hAnsi="Trebuchet MS"/>
        </w:rPr>
        <w:t xml:space="preserve"> </w:t>
      </w:r>
    </w:p>
    <w:p w:rsidR="00372AB4" w:rsidRDefault="00372AB4" w:rsidP="00372AB4">
      <w:pPr>
        <w:pStyle w:val="StandardWeb"/>
        <w:spacing w:line="360" w:lineRule="auto"/>
        <w:rPr>
          <w:rFonts w:ascii="Trebuchet MS" w:hAnsi="Trebuchet MS"/>
        </w:rPr>
      </w:pPr>
      <w:r w:rsidRPr="00372AB4">
        <w:rPr>
          <w:rFonts w:ascii="Trebuchet MS" w:hAnsi="Trebuchet MS"/>
        </w:rPr>
        <w:t>Insoweit können auch in der Selbsthilfe Vorbilder aus dem Ausland dazu beitragen, eigene Gewissheiten in Frage zu stellen und neue Wege zu gehen.</w:t>
      </w:r>
      <w:r>
        <w:rPr>
          <w:rFonts w:ascii="Trebuchet MS" w:hAnsi="Trebuchet MS"/>
        </w:rPr>
        <w:t xml:space="preserve"> Dies gilt natü</w:t>
      </w:r>
      <w:r>
        <w:rPr>
          <w:rFonts w:ascii="Trebuchet MS" w:hAnsi="Trebuchet MS"/>
        </w:rPr>
        <w:t>r</w:t>
      </w:r>
      <w:r>
        <w:rPr>
          <w:rFonts w:ascii="Trebuchet MS" w:hAnsi="Trebuchet MS"/>
        </w:rPr>
        <w:t>lich in besonderem Maße für die sich schnell entwickelnden sozialen Medien. Gerade sie sorgen dafür, dass der Austausch immer unkomplizierter von Statten gehen kann und so wichtige grenzüberschreitende Vernetzungsangebote entstehen können.</w:t>
      </w:r>
      <w:r w:rsidR="00A0642F">
        <w:rPr>
          <w:rFonts w:ascii="Trebuchet MS" w:hAnsi="Trebuchet MS"/>
        </w:rPr>
        <w:t xml:space="preserve"> Auch die Entwicklung der Strukturen bzw. unter Umständen auch die Rückbesinnung auf die eigenen Anfänge können neue Impulse für die Organisation des eigenen Vereins geben.</w:t>
      </w:r>
    </w:p>
    <w:p w:rsidR="00F153CC" w:rsidRDefault="00F153CC" w:rsidP="00372AB4">
      <w:pPr>
        <w:pStyle w:val="StandardWeb"/>
        <w:spacing w:line="360" w:lineRule="auto"/>
        <w:rPr>
          <w:rFonts w:ascii="Trebuchet MS" w:hAnsi="Trebuchet MS"/>
        </w:rPr>
      </w:pPr>
      <w:r>
        <w:rPr>
          <w:rFonts w:ascii="Trebuchet MS" w:hAnsi="Trebuchet MS"/>
        </w:rPr>
        <w:t>Gleichzeitig hängt die Sinnhaftigkeit eines Austausches auch ganz grundlegend von der Art der Erkrankung und der eigenen Mitgliederstruktur ab: Betrifft die Erkra</w:t>
      </w:r>
      <w:r>
        <w:rPr>
          <w:rFonts w:ascii="Trebuchet MS" w:hAnsi="Trebuchet MS"/>
        </w:rPr>
        <w:t>n</w:t>
      </w:r>
      <w:r>
        <w:rPr>
          <w:rFonts w:ascii="Trebuchet MS" w:hAnsi="Trebuchet MS"/>
        </w:rPr>
        <w:t>kung überwiegend Menschen über 75, so ist eine Konzentration des Austauschs auf soziale Medien derzeit – noch – wenig aussichtsreich im Hinblick auf eine Verstet</w:t>
      </w:r>
      <w:r>
        <w:rPr>
          <w:rFonts w:ascii="Trebuchet MS" w:hAnsi="Trebuchet MS"/>
        </w:rPr>
        <w:t>i</w:t>
      </w:r>
      <w:r>
        <w:rPr>
          <w:rFonts w:ascii="Trebuchet MS" w:hAnsi="Trebuchet MS"/>
        </w:rPr>
        <w:t>gung. Hier könnte man etwa gezielt Angehörige von Selbsthilfegruppen in Grenzn</w:t>
      </w:r>
      <w:r>
        <w:rPr>
          <w:rFonts w:ascii="Trebuchet MS" w:hAnsi="Trebuchet MS"/>
        </w:rPr>
        <w:t>ä</w:t>
      </w:r>
      <w:r>
        <w:rPr>
          <w:rFonts w:ascii="Trebuchet MS" w:hAnsi="Trebuchet MS"/>
        </w:rPr>
        <w:t xml:space="preserve">he anzusprechen und einen persönlichen Austausch ermöglichen. Anders wäre dies bei Selbsthilfeorganisationen zu beurteilen, deren Mitgliedsstruktur überwiegend aus Eltern, Kindern und Jugendlichen besteht. Hier könnte eine Kombination aus </w:t>
      </w:r>
      <w:r>
        <w:rPr>
          <w:rFonts w:ascii="Trebuchet MS" w:hAnsi="Trebuchet MS"/>
        </w:rPr>
        <w:lastRenderedPageBreak/>
        <w:t xml:space="preserve">persönlichem Treffen und sozialen Netzwerken einen Mehrwert für Kinder und Jugendliche darstellen, wodurch diese ihre Krankheit eben nicht nur als zusätzliche Belastung, sondern auch als zusätzliche Chance für Austausch erleben lernen. Auch das Vorhandensein von hauptamtlichem Personal, Erfahrungen von Ehrenamtlern in internationalen Verbünden oder </w:t>
      </w:r>
      <w:r w:rsidR="00557FB1">
        <w:rPr>
          <w:rFonts w:ascii="Trebuchet MS" w:hAnsi="Trebuchet MS"/>
        </w:rPr>
        <w:t>„alte Kontakte“ von Mitgliedern aus ihrem Beruf</w:t>
      </w:r>
      <w:r w:rsidR="00557FB1">
        <w:rPr>
          <w:rFonts w:ascii="Trebuchet MS" w:hAnsi="Trebuchet MS"/>
        </w:rPr>
        <w:t>s</w:t>
      </w:r>
      <w:r w:rsidR="00557FB1">
        <w:rPr>
          <w:rFonts w:ascii="Trebuchet MS" w:hAnsi="Trebuchet MS"/>
        </w:rPr>
        <w:t>leben können dabei hilfreiche Faktoren sein. Insgesamt wird empfohlen, gezielt nach derartigen Ressourcen im Verband zu suchen. Lassen Sie sich von ihren Mitgliedern überraschen!</w:t>
      </w:r>
    </w:p>
    <w:p w:rsidR="00C84961" w:rsidRPr="00120931" w:rsidRDefault="00557FB1" w:rsidP="00557FB1">
      <w:pPr>
        <w:pStyle w:val="Listenabsatz"/>
        <w:numPr>
          <w:ilvl w:val="0"/>
          <w:numId w:val="15"/>
        </w:numPr>
        <w:rPr>
          <w:b/>
        </w:rPr>
      </w:pPr>
      <w:r w:rsidRPr="00120931">
        <w:rPr>
          <w:b/>
        </w:rPr>
        <w:t>Status Quo: Wie sehen die Gesundheitssysteme in den verschiedenen Ländern aus?</w:t>
      </w:r>
    </w:p>
    <w:p w:rsidR="00EA48B5" w:rsidRDefault="00EA48B5" w:rsidP="00552CE7">
      <w:pPr>
        <w:spacing w:line="360" w:lineRule="auto"/>
      </w:pPr>
    </w:p>
    <w:p w:rsidR="00FD4D36" w:rsidRDefault="00FD4D36" w:rsidP="00552CE7">
      <w:pPr>
        <w:spacing w:line="360" w:lineRule="auto"/>
      </w:pPr>
      <w:r>
        <w:t>Die unterschiedlichen Bedingungen, die Patientinnen und Patienten in den ve</w:t>
      </w:r>
      <w:r>
        <w:t>r</w:t>
      </w:r>
      <w:r>
        <w:t>schiedenen Ländern vorfinden, lassen sich häufig nur durch die verschiedenen Gesundheitssysteme erklären. Sie bilden die Basis für die Herausforderungen, denen sich Menschen mit chronischen Erkrankungen und Behinderungen stellen müssen. Sie können aber auch vielfältige Lösungsmöglichkeiten enthalten, von denen man – für die Arbeit in der Selbsthilfe vor Ort, aber auch in gesundheitspol</w:t>
      </w:r>
      <w:r>
        <w:t>i</w:t>
      </w:r>
      <w:r>
        <w:t>tischer Hinsicht – lernen kann.</w:t>
      </w:r>
    </w:p>
    <w:p w:rsidR="0068625C" w:rsidRDefault="0068625C" w:rsidP="00552CE7">
      <w:pPr>
        <w:spacing w:line="360" w:lineRule="auto"/>
      </w:pPr>
    </w:p>
    <w:p w:rsidR="0068625C" w:rsidRDefault="0068625C" w:rsidP="00552CE7">
      <w:pPr>
        <w:spacing w:line="360" w:lineRule="auto"/>
      </w:pPr>
      <w:r>
        <w:t>Insoweit sind zunächst einmal die unterschiedlichen System</w:t>
      </w:r>
      <w:r w:rsidR="00A0642F">
        <w:t>e</w:t>
      </w:r>
      <w:r>
        <w:t xml:space="preserve"> der drei Länder darzustellen (in alphabetischer Ordnung): </w:t>
      </w:r>
    </w:p>
    <w:p w:rsidR="00EA48B5" w:rsidRDefault="00EA48B5" w:rsidP="00552CE7">
      <w:pPr>
        <w:spacing w:line="360" w:lineRule="auto"/>
      </w:pPr>
    </w:p>
    <w:p w:rsidR="00557FB1" w:rsidRPr="00120931" w:rsidRDefault="00FD4D36" w:rsidP="00552CE7">
      <w:pPr>
        <w:pStyle w:val="Listenabsatz"/>
        <w:numPr>
          <w:ilvl w:val="0"/>
          <w:numId w:val="17"/>
        </w:numPr>
        <w:spacing w:line="360" w:lineRule="auto"/>
        <w:rPr>
          <w:b/>
        </w:rPr>
      </w:pPr>
      <w:r w:rsidRPr="00120931">
        <w:rPr>
          <w:b/>
        </w:rPr>
        <w:t>Bundesrepublik Deutschland</w:t>
      </w:r>
    </w:p>
    <w:p w:rsidR="00CE51BD" w:rsidRDefault="00CE51BD" w:rsidP="00552CE7">
      <w:pPr>
        <w:spacing w:line="360" w:lineRule="auto"/>
      </w:pPr>
    </w:p>
    <w:p w:rsidR="00FD4D36" w:rsidRDefault="00FD4D36" w:rsidP="00552CE7">
      <w:pPr>
        <w:spacing w:line="360" w:lineRule="auto"/>
      </w:pPr>
      <w:r>
        <w:t xml:space="preserve">Das Gesundheitssystem in Deutschland ist durch ein </w:t>
      </w:r>
      <w:r w:rsidRPr="00552CE7">
        <w:rPr>
          <w:b/>
        </w:rPr>
        <w:t>Nebeneinander zwischen privater und gesetzlicher Krankenversicherung</w:t>
      </w:r>
      <w:r>
        <w:t xml:space="preserve"> gekennzeichnet. Rund 90 Prozent der Bevölkerung sind gesetzlich versichert, 10 Prozent privat. Überwiegend stellen Beamte und Selbständige die Mitglieder der privaten Krankenversicherung; Me</w:t>
      </w:r>
      <w:r>
        <w:t>n</w:t>
      </w:r>
      <w:r>
        <w:t>schen im Angestelltenverhältnis sind hingegen verpflichtet, gesetzlich krankenve</w:t>
      </w:r>
      <w:r>
        <w:t>r</w:t>
      </w:r>
      <w:r>
        <w:lastRenderedPageBreak/>
        <w:t>sichert zu sein, jedenfalls dann, wenn sie unterhalb der sog. Pflichtversicherung</w:t>
      </w:r>
      <w:r>
        <w:t>s</w:t>
      </w:r>
      <w:r>
        <w:t>grenze verdienen.</w:t>
      </w:r>
    </w:p>
    <w:p w:rsidR="00FD4D36" w:rsidRDefault="00FD4D36" w:rsidP="00552CE7">
      <w:pPr>
        <w:spacing w:line="360" w:lineRule="auto"/>
      </w:pPr>
    </w:p>
    <w:p w:rsidR="00FD4D36" w:rsidRDefault="00FD4D36" w:rsidP="00552CE7">
      <w:pPr>
        <w:spacing w:line="360" w:lineRule="auto"/>
      </w:pPr>
      <w:r>
        <w:t xml:space="preserve">Das </w:t>
      </w:r>
      <w:r w:rsidRPr="00552CE7">
        <w:rPr>
          <w:b/>
        </w:rPr>
        <w:t xml:space="preserve">System der privaten Versicherung </w:t>
      </w:r>
      <w:r w:rsidR="00F872F4" w:rsidRPr="00552CE7">
        <w:rPr>
          <w:b/>
        </w:rPr>
        <w:t>wird kapitalgedeckt</w:t>
      </w:r>
      <w:r w:rsidR="00F872F4">
        <w:t xml:space="preserve"> finanziert, Versicherte zahlen eine sog. Kopfpauschale, die allerdings auch noch durch das persönliche Risikoprofil bestimmt wird.</w:t>
      </w:r>
      <w:r w:rsidR="00667A32">
        <w:t xml:space="preserve"> Darüber hinaus können sie unterschiedliche Selbstb</w:t>
      </w:r>
      <w:r w:rsidR="00667A32">
        <w:t>e</w:t>
      </w:r>
      <w:r w:rsidR="00667A32">
        <w:t>halte und Leistungskataloge wählen.</w:t>
      </w:r>
      <w:r w:rsidR="00F872F4">
        <w:t xml:space="preserve"> Derzeit ist das System der privaten Kranke</w:t>
      </w:r>
      <w:r w:rsidR="00F872F4">
        <w:t>n</w:t>
      </w:r>
      <w:r w:rsidR="00F872F4">
        <w:t>versicherung stark in der Kritik: Einerseits wird es als ungerecht empfunden (positive Risikoselektion), andererseits steigen die Beiträge im Alter extrem an; ein Wechsel ist ab einer bestimmten Altersgrenze kaum noch möglich.</w:t>
      </w:r>
      <w:r w:rsidR="00552CE7">
        <w:t xml:space="preserve"> Vor diesem Hintergrund nimmt die Beliebtheit dieses Systems stark ab;</w:t>
      </w:r>
      <w:r w:rsidR="00120931">
        <w:t xml:space="preserve"> derzeit haben alle</w:t>
      </w:r>
      <w:r w:rsidR="00120931">
        <w:t>r</w:t>
      </w:r>
      <w:r w:rsidR="00120931">
        <w:t>dings</w:t>
      </w:r>
      <w:r w:rsidR="00552CE7">
        <w:t xml:space="preserve"> privat Versicherte </w:t>
      </w:r>
      <w:r w:rsidR="00120931">
        <w:t xml:space="preserve">noch </w:t>
      </w:r>
      <w:r w:rsidR="00552CE7">
        <w:t xml:space="preserve">den Vorteil, häufig schnellere Termine bei </w:t>
      </w:r>
      <w:r w:rsidR="00667A32">
        <w:t xml:space="preserve">ambulant tätigen </w:t>
      </w:r>
      <w:r w:rsidR="00552CE7">
        <w:t xml:space="preserve">Ärzten zu bekommen. Auch viele neue Behandlungsmethoden, die von den gesetzlichen Versicherungen </w:t>
      </w:r>
      <w:r w:rsidR="00A0642F">
        <w:t xml:space="preserve">(noch) </w:t>
      </w:r>
      <w:r w:rsidR="00552CE7">
        <w:t>nicht übernommen werden, werden von den privaten Ve</w:t>
      </w:r>
      <w:r w:rsidR="00120931">
        <w:t>rsicherungen übernommen. Aus den Verbänden wird aber auch beric</w:t>
      </w:r>
      <w:r w:rsidR="00120931">
        <w:t>h</w:t>
      </w:r>
      <w:r w:rsidR="00120931">
        <w:t>tet</w:t>
      </w:r>
      <w:r w:rsidR="00552CE7">
        <w:t xml:space="preserve">, dass </w:t>
      </w:r>
      <w:r w:rsidR="00667A32">
        <w:t xml:space="preserve">inzwischen </w:t>
      </w:r>
      <w:r w:rsidR="00120931">
        <w:t xml:space="preserve">private Versicherungen </w:t>
      </w:r>
      <w:r w:rsidR="00667A32">
        <w:t xml:space="preserve">zunehmend </w:t>
      </w:r>
      <w:r w:rsidR="00120931">
        <w:t xml:space="preserve">Behandlungen oder Diagnostika verweigern, die </w:t>
      </w:r>
      <w:r w:rsidR="00552CE7">
        <w:t>gesetzliche Versicherun</w:t>
      </w:r>
      <w:r w:rsidR="00120931">
        <w:t xml:space="preserve">gen </w:t>
      </w:r>
      <w:r w:rsidR="00552CE7">
        <w:t>überneh</w:t>
      </w:r>
      <w:r w:rsidR="00120931">
        <w:t>men</w:t>
      </w:r>
      <w:r w:rsidR="00552CE7">
        <w:t>.</w:t>
      </w:r>
      <w:r w:rsidR="00120931">
        <w:t xml:space="preserve"> Auch im Bereich der Hilfsmittelversorgung haben viele privat Versicherte das Problem, dass die jeweiligen Versicherungsbedingungen so ausgestaltet sind, dass hier vieles nicht erstattet wird, das in den gesetzlichen Krankenkassen zum Standard gehört.</w:t>
      </w:r>
      <w:r w:rsidR="00A0642F">
        <w:t xml:space="preserve"> Insoweit kann inzwischen nicht mehr die Rede davon sein, dass die Versorgung von Menschen, die eine private Krankenversicherung haben, grundsätzlich und durchg</w:t>
      </w:r>
      <w:r w:rsidR="00A0642F">
        <w:t>e</w:t>
      </w:r>
      <w:r w:rsidR="00A0642F">
        <w:t>hend besser ausgestaltet ist.</w:t>
      </w:r>
    </w:p>
    <w:p w:rsidR="00F872F4" w:rsidRDefault="00F872F4" w:rsidP="00552CE7">
      <w:pPr>
        <w:spacing w:line="360" w:lineRule="auto"/>
      </w:pPr>
    </w:p>
    <w:p w:rsidR="00F872F4" w:rsidRDefault="00F872F4" w:rsidP="00552CE7">
      <w:pPr>
        <w:spacing w:line="360" w:lineRule="auto"/>
      </w:pPr>
      <w:r>
        <w:t xml:space="preserve">Das </w:t>
      </w:r>
      <w:r w:rsidRPr="00552CE7">
        <w:rPr>
          <w:b/>
        </w:rPr>
        <w:t>System der gesetzlichen Krankenversicherung wird im Umlageverfahren</w:t>
      </w:r>
      <w:r>
        <w:t xml:space="preserve"> finanziert; eine </w:t>
      </w:r>
      <w:r w:rsidR="00590F05">
        <w:t xml:space="preserve">vorherige </w:t>
      </w:r>
      <w:r>
        <w:t xml:space="preserve">Risikoselektion findet nicht statt. </w:t>
      </w:r>
      <w:r w:rsidR="00590F05">
        <w:t xml:space="preserve">Bei Arbeitnehmern übernimmt der Arbeitgeber die Hälfte der Beiträge, deren Höhe sich jeweils nach dem Einkommen richtet. </w:t>
      </w:r>
      <w:r>
        <w:t xml:space="preserve">Die unterschiedlich verteilten Krankheitslasten </w:t>
      </w:r>
      <w:r w:rsidR="004B2ADA">
        <w:t xml:space="preserve">der einzelnen Krankenkassen </w:t>
      </w:r>
      <w:r>
        <w:t>werden über den sog. Morbi-RSA (morbiditätsorientierten Risikostrukturausgleich) ausgeglichen</w:t>
      </w:r>
      <w:r w:rsidR="004B2ADA">
        <w:t xml:space="preserve">; ansonsten stehen die Kassen im Wettbewerb </w:t>
      </w:r>
      <w:r w:rsidR="004B2ADA">
        <w:lastRenderedPageBreak/>
        <w:t>zueinander</w:t>
      </w:r>
      <w:r>
        <w:t>.</w:t>
      </w:r>
      <w:r w:rsidR="00552CE7">
        <w:t xml:space="preserve"> </w:t>
      </w:r>
      <w:r w:rsidR="004B2ADA">
        <w:t xml:space="preserve">Das System der gesetzlichen Krankenversicherung soll grundsätzlich alles abdecken, was medizinisch notwendig und wirtschaftlich ist. Da jedoch immer wieder festgestellt wird, dass Innovationen relativ spät in den Leistungskatalog der gesetzlichen Krankenkassen kommen, bieten einzelne Krankenkassen – auch aus Wettbewerbsgründen – zusätzlich Methoden an, die noch nicht im allgemeinen Leistungskatalog der gesetzlichen Krankenkassen enthalten sind. </w:t>
      </w:r>
      <w:r w:rsidR="00022191">
        <w:t>Soweit dies nicht der Fall ist, muss der Patient oder die Patientin die Leistung im Wege der individ</w:t>
      </w:r>
      <w:r w:rsidR="00022191">
        <w:t>u</w:t>
      </w:r>
      <w:r w:rsidR="00022191">
        <w:t>ellen Gesundheitsleistung selbst bezahlen. In diesem Markt werden eine Vielzahl von unterschiedlichen Leistungen angeboten: Diese reichen von hoch sinnvollen (z.B. HPV-Test zur Zervix- Krebsfrüherkennung) bis hin zu eher sinnlosen Leistu</w:t>
      </w:r>
      <w:r w:rsidR="00022191">
        <w:t>n</w:t>
      </w:r>
      <w:r w:rsidR="00022191">
        <w:t xml:space="preserve">gen. </w:t>
      </w:r>
      <w:r w:rsidR="004B2ADA">
        <w:t>Ganz überwiegend sind die Leistungskataloge der</w:t>
      </w:r>
      <w:r w:rsidR="00BB0DEB">
        <w:t xml:space="preserve"> gesetzlichen</w:t>
      </w:r>
      <w:r w:rsidR="004B2ADA">
        <w:t xml:space="preserve"> Krankenkassen jedoch deckungsgleich. Wie bereits dargestellt, gewinnt dieses System derzeit an Beliebtheit, da sich inzwischen viele Menschen Sorgen über die steigenden Beiträge der privaten Krankenversicherungen im Alter machen. In der Politik wird deswegen auch diskutiert, die privaten Krankenversicherungen in die gesetzlichen zu integri</w:t>
      </w:r>
      <w:r w:rsidR="004B2ADA">
        <w:t>e</w:t>
      </w:r>
      <w:r w:rsidR="004B2ADA">
        <w:t>ren und eine oder mehrere gesetzliche Bürgerversicherungen zu kreieren.</w:t>
      </w:r>
    </w:p>
    <w:p w:rsidR="00F872F4" w:rsidRDefault="00F872F4" w:rsidP="00552CE7">
      <w:pPr>
        <w:spacing w:line="360" w:lineRule="auto"/>
      </w:pPr>
    </w:p>
    <w:p w:rsidR="00F872F4" w:rsidRDefault="00F872F4" w:rsidP="00552CE7">
      <w:pPr>
        <w:spacing w:line="360" w:lineRule="auto"/>
      </w:pPr>
      <w:r w:rsidRPr="004B2ADA">
        <w:rPr>
          <w:b/>
        </w:rPr>
        <w:t>Krankenhäuser</w:t>
      </w:r>
      <w:r>
        <w:t xml:space="preserve"> </w:t>
      </w:r>
      <w:r w:rsidR="0068625C">
        <w:t xml:space="preserve">sind teils kommunal, teils privatwirtschaftlich organisiert. Sie </w:t>
      </w:r>
      <w:r>
        <w:t>werden im Wesentlichen durch die gesetzlichen und privaten Krankenversicheru</w:t>
      </w:r>
      <w:r>
        <w:t>n</w:t>
      </w:r>
      <w:r>
        <w:t>gen finanziert</w:t>
      </w:r>
      <w:r w:rsidR="0068625C">
        <w:t xml:space="preserve">, obwohl dies nach dem Gesetz </w:t>
      </w:r>
      <w:r>
        <w:t>eigentlich anders sein</w:t>
      </w:r>
      <w:r w:rsidR="0068625C">
        <w:t xml:space="preserve"> sollte</w:t>
      </w:r>
      <w:r>
        <w:t>: Die Länder sind an sich verpflichtet, die Investitionskosten der Krankenhäuser zu finanzieren, kommen dieser Verpflichtung allerdings nur unzureichend nach.</w:t>
      </w:r>
    </w:p>
    <w:p w:rsidR="00F872F4" w:rsidRDefault="00F872F4" w:rsidP="00552CE7">
      <w:pPr>
        <w:spacing w:line="360" w:lineRule="auto"/>
      </w:pPr>
    </w:p>
    <w:p w:rsidR="00CE51BD" w:rsidRDefault="00F872F4" w:rsidP="00552CE7">
      <w:pPr>
        <w:spacing w:line="360" w:lineRule="auto"/>
      </w:pPr>
      <w:r w:rsidRPr="004B2ADA">
        <w:rPr>
          <w:b/>
        </w:rPr>
        <w:t>Arzneimittel</w:t>
      </w:r>
      <w:r>
        <w:t xml:space="preserve"> stehen den Patientinnen und Patienten in Deutschland unmittelbar nach Zulassung und Inverkehrbringen in Deutschland zur Verfügung und werden von Krankenkassen erstattet. Nach der Zulassung und dem Inverkehrbringen beginnt jedoch ein Bewertungs- und Preisverhandlungssystem, an dessen Ende nach einem Jahr ein ausverhandelter Preis oder ein Festbetrag steht. Soweit der Hersteller das Medikament allerdings nicht vom Markt nimmt, hat dieser Preis keine Auswirkungen auf die Erstattungsfäh</w:t>
      </w:r>
      <w:r w:rsidR="00CE51BD">
        <w:t>igkeit des Medikamentes.</w:t>
      </w:r>
      <w:r w:rsidR="00FA401E">
        <w:t xml:space="preserve"> Im Grundsatz bezahlt der Patient </w:t>
      </w:r>
      <w:r w:rsidR="00FA401E">
        <w:lastRenderedPageBreak/>
        <w:t>oder die Patientin nur eine sog. Zuzahlung für den Erhalt des Medikamentes, die zwischen 5-10 € liegt; es gibt eine Belastungsgrenze, die bei 2 Prozent des Brutt</w:t>
      </w:r>
      <w:r w:rsidR="00FA401E">
        <w:t>o</w:t>
      </w:r>
      <w:r w:rsidR="00FA401E">
        <w:t>einkommens liegt, bei Chronikern bei 1 Prozent.</w:t>
      </w:r>
    </w:p>
    <w:p w:rsidR="00CE51BD" w:rsidRDefault="00CE51BD" w:rsidP="00552CE7">
      <w:pPr>
        <w:spacing w:line="360" w:lineRule="auto"/>
      </w:pPr>
    </w:p>
    <w:p w:rsidR="004B2ADA" w:rsidRDefault="00CE51BD" w:rsidP="00552CE7">
      <w:pPr>
        <w:spacing w:line="360" w:lineRule="auto"/>
      </w:pPr>
      <w:r>
        <w:t xml:space="preserve">Bei sog. </w:t>
      </w:r>
      <w:r w:rsidRPr="004B2ADA">
        <w:rPr>
          <w:b/>
        </w:rPr>
        <w:t>Medizinprodukten</w:t>
      </w:r>
      <w:r>
        <w:t xml:space="preserve"> ist die Erstattungsfähigkeit differenzierter zu beurte</w:t>
      </w:r>
      <w:r>
        <w:t>i</w:t>
      </w:r>
      <w:r>
        <w:t>len: Handelt es sich um ein Hilfsmittel im engeren Sinne (etwa ein</w:t>
      </w:r>
      <w:r w:rsidR="00BB0DEB">
        <w:t>en</w:t>
      </w:r>
      <w:r>
        <w:t xml:space="preserve"> Rollstuhl), ist dieses unmittelbar erstattungsfähig; hilfreich, aber nicht</w:t>
      </w:r>
      <w:r w:rsidR="00492C68">
        <w:t xml:space="preserve"> unbedingt</w:t>
      </w:r>
      <w:r w:rsidR="00BB0DEB">
        <w:t xml:space="preserve"> notwendig</w:t>
      </w:r>
      <w:r w:rsidR="00767EF7">
        <w:t>,</w:t>
      </w:r>
      <w:r w:rsidR="00BB0DEB">
        <w:t xml:space="preserve"> ist für die Erstattung</w:t>
      </w:r>
      <w:r>
        <w:t xml:space="preserve"> die Aufnahme im sog. Hilfsmittelverzeichnis</w:t>
      </w:r>
      <w:r w:rsidR="00492C68">
        <w:t>, welches der Spitzenverband der gesetzlichen Krankenkassen festlegt</w:t>
      </w:r>
      <w:r>
        <w:t>. Schwieriger ist die Situation, wenn ein Hilfsmittel bzw. ein Medizinprodukt Teil einer Behandlungsm</w:t>
      </w:r>
      <w:r>
        <w:t>e</w:t>
      </w:r>
      <w:r>
        <w:t xml:space="preserve">thode ist: Dann ist dieses erst nach einer positiven Bewertung von regelhaft 3 Jahren im Gemeinsamen Bundesausschuss im ambulanten Bereich erstattungsfähig. </w:t>
      </w:r>
      <w:r w:rsidR="004B2ADA">
        <w:t>Im stationären Bereich gilt das umgekehrte: Alles das ist erlaubt, was nicht durch den Gemeinsamen Bundesausschuss verboten wurde.</w:t>
      </w:r>
    </w:p>
    <w:p w:rsidR="004B2ADA" w:rsidRDefault="004B2ADA" w:rsidP="00552CE7">
      <w:pPr>
        <w:spacing w:line="360" w:lineRule="auto"/>
      </w:pPr>
    </w:p>
    <w:p w:rsidR="00F872F4" w:rsidRDefault="00CE51BD" w:rsidP="00552CE7">
      <w:pPr>
        <w:spacing w:line="360" w:lineRule="auto"/>
      </w:pPr>
      <w:r>
        <w:t xml:space="preserve">Beim </w:t>
      </w:r>
      <w:r w:rsidRPr="004B2ADA">
        <w:rPr>
          <w:b/>
        </w:rPr>
        <w:t>Gemeinsamen Bundesausschuss</w:t>
      </w:r>
      <w:r>
        <w:t xml:space="preserve"> handelt es sich um das oberste Organ der </w:t>
      </w:r>
      <w:r w:rsidR="004B2ADA">
        <w:t xml:space="preserve">Gemeinsamen </w:t>
      </w:r>
      <w:r>
        <w:t>Selbstverwaltung, also nicht um ein staatliches Gebilde: Hier entscheiden Krankenhäuser, ambulant tätige Ärzte und Krankenkassen gemeinsam über den allgemeinen Leistungskatalog der Krankenkassen, soweit die Entscheidung nicht in anderen Gremien getroffen wird. Die Patientenvertretung und mit ihr die Selbsthilfe hat hier ein Mitberatungsrecht, aber kein Stimmrecht.</w:t>
      </w:r>
    </w:p>
    <w:p w:rsidR="00722D2E" w:rsidRDefault="00722D2E" w:rsidP="00552CE7">
      <w:pPr>
        <w:spacing w:line="360" w:lineRule="auto"/>
      </w:pPr>
    </w:p>
    <w:p w:rsidR="00FA401E" w:rsidRDefault="00FA401E" w:rsidP="00552CE7">
      <w:pPr>
        <w:spacing w:line="360" w:lineRule="auto"/>
      </w:pPr>
      <w:r>
        <w:t xml:space="preserve">Auch bei Hilfsmitteln bzw. Medizinprodukten gilt im Grundsatz die o.g. Begrenzung der Zuzahlung. Dies </w:t>
      </w:r>
      <w:r w:rsidR="008526E8">
        <w:t>ist jedoch leider anders bei sog. Aufzahlungen, bei denen die Versorgung über das medizinisch Notwendige hinausgeht; da man naturgemäß über diese Frage diskutieren kann, müssen viele Patientinnen und Patienten hohe Aufzahlungen, etwa für ihre Hörgeräte, bezahlen, oder den Klageweg beschreiten.</w:t>
      </w:r>
      <w:r w:rsidR="00022191">
        <w:t xml:space="preserve"> Bei Brillen gibt es die Besonderheit, dass die gesetzlichen Krankenkassen die Kosten nicht mehr übernehmen; eine Ausnahme gibt es nur für Patientinnen und Patienten mit schwerer Sehbeeinträchtigung (mehr als 6 Dioptrin). Auch hier bezahlt die </w:t>
      </w:r>
      <w:r w:rsidR="00022191">
        <w:lastRenderedPageBreak/>
        <w:t>Krankenkasse jedoch nur einen geringen Betrag (Festbetrag), der die tatsächlich anfallenden Kosten nicht deckt.</w:t>
      </w:r>
    </w:p>
    <w:p w:rsidR="008526E8" w:rsidRDefault="008526E8" w:rsidP="00552CE7">
      <w:pPr>
        <w:spacing w:line="360" w:lineRule="auto"/>
      </w:pPr>
    </w:p>
    <w:p w:rsidR="00722D2E" w:rsidRDefault="00722D2E" w:rsidP="00552CE7">
      <w:pPr>
        <w:spacing w:line="360" w:lineRule="auto"/>
      </w:pPr>
      <w:r>
        <w:t xml:space="preserve">Insgesamt ist das deutsche Gesundheitssystem für Patientinnen und Patienten extrem unübersichtlich; </w:t>
      </w:r>
      <w:r w:rsidR="0002308A">
        <w:t>hinzukommt</w:t>
      </w:r>
      <w:r>
        <w:t>, dass viele private Leistungserbringer aus Eigeninteresse falsche oder unzureichende Informationen weitergeben, die das System</w:t>
      </w:r>
      <w:r w:rsidR="008526E8">
        <w:t xml:space="preserve"> dann noch intransparenter machen</w:t>
      </w:r>
      <w:r>
        <w:t xml:space="preserve">. </w:t>
      </w:r>
      <w:r w:rsidR="00552CE7">
        <w:t xml:space="preserve">Vor diesem Hintergrund haben gerade Menschen mit chronischen Erkrankungen enorme Probleme, sich in diesem System zurecht zu finden und ihre Ansprüche durchzusetzen. Viele Beratungsangebote sind kaum bekannt </w:t>
      </w:r>
      <w:r w:rsidR="004B2ADA">
        <w:t>oder nur telefonisch erhältlich;</w:t>
      </w:r>
      <w:r w:rsidR="00BB0DEB">
        <w:t xml:space="preserve"> deswegen</w:t>
      </w:r>
      <w:r w:rsidR="004B2ADA">
        <w:t xml:space="preserve"> ist es ein wichtiges Anliegen der Selbsthilfeorganisationen, den Patientinnen und Patienten bei ihrem Weg durch den „Dschungel“ des deutschen Gesundheitssystems zu helfen und ihre Gesundheitskompetenz zu stärken.</w:t>
      </w:r>
    </w:p>
    <w:p w:rsidR="00FD4D36" w:rsidRDefault="00FD4D36" w:rsidP="00FD4D36"/>
    <w:p w:rsidR="00FD4D36" w:rsidRPr="00F978CE" w:rsidRDefault="00A0642F" w:rsidP="00FD4D36">
      <w:pPr>
        <w:pStyle w:val="Listenabsatz"/>
        <w:numPr>
          <w:ilvl w:val="0"/>
          <w:numId w:val="17"/>
        </w:numPr>
        <w:rPr>
          <w:b/>
        </w:rPr>
      </w:pPr>
      <w:r w:rsidRPr="00F978CE">
        <w:rPr>
          <w:b/>
        </w:rPr>
        <w:t xml:space="preserve">Republik </w:t>
      </w:r>
      <w:r w:rsidR="00FD4D36" w:rsidRPr="00F978CE">
        <w:rPr>
          <w:b/>
        </w:rPr>
        <w:t>Österreich</w:t>
      </w:r>
    </w:p>
    <w:p w:rsidR="00AF0077" w:rsidRDefault="00AF0077" w:rsidP="00AF0077">
      <w:pPr>
        <w:pStyle w:val="Listenabsatz"/>
      </w:pPr>
    </w:p>
    <w:p w:rsidR="00FD4D36" w:rsidRDefault="00AF0077" w:rsidP="00AA5EDE">
      <w:pPr>
        <w:spacing w:line="360" w:lineRule="auto"/>
      </w:pPr>
      <w:r>
        <w:t>Im Gegensatz zu Deutschland gibt es in Österreich keine privaten Krankenvollvers</w:t>
      </w:r>
      <w:r>
        <w:t>i</w:t>
      </w:r>
      <w:r>
        <w:t>cherungen. Versicherte können ihre Kasse auch nicht frei wählen, vielmehr richtet sich diese nach dem Wohnort und der Berufszugehörigkeit. Sie können sich alle</w:t>
      </w:r>
      <w:r>
        <w:t>r</w:t>
      </w:r>
      <w:r>
        <w:t xml:space="preserve">dings darüber </w:t>
      </w:r>
      <w:r w:rsidR="00AA5EDE">
        <w:t>hinaus privat zusatzversichern.</w:t>
      </w:r>
    </w:p>
    <w:p w:rsidR="00AA5EDE" w:rsidRDefault="00AA5EDE" w:rsidP="00AA5EDE">
      <w:pPr>
        <w:spacing w:line="360" w:lineRule="auto"/>
      </w:pPr>
    </w:p>
    <w:p w:rsidR="00AA5EDE" w:rsidRDefault="00AA5EDE" w:rsidP="00AA5EDE">
      <w:pPr>
        <w:spacing w:line="360" w:lineRule="auto"/>
      </w:pPr>
      <w:r>
        <w:t>Auch in Österreich werden die Kosten für die Krankenversicherung hälftig von Arbeitgeber und Arbeitnehmer getragen. Die Leistungen werden durch den Geset</w:t>
      </w:r>
      <w:r>
        <w:t>z</w:t>
      </w:r>
      <w:r>
        <w:t xml:space="preserve">geber festgelegt und sind </w:t>
      </w:r>
      <w:r w:rsidR="00492C68">
        <w:t xml:space="preserve">von </w:t>
      </w:r>
      <w:r>
        <w:t>daher zwischen den einzelnen Krankenkassen grö</w:t>
      </w:r>
      <w:r>
        <w:t>ß</w:t>
      </w:r>
      <w:r>
        <w:t>tenteils identisch. Dabei übernehmen die gesetzlichen Krankenkassen die Behan</w:t>
      </w:r>
      <w:r>
        <w:t>d</w:t>
      </w:r>
      <w:r>
        <w:t>lungskosten für sog. Vertragsärzte bei Arbeitnehmern voll, bei den sog. Wahlärzten nur zu 80 Prozent. Bei Selbständigen ist der Leistungskatalog etwas umfangreicher angelegt, allerdings müssen sie rund 20 Prozent der Kosten selbst bezahlen.</w:t>
      </w:r>
    </w:p>
    <w:p w:rsidR="00767EF7" w:rsidRDefault="00AA5EDE" w:rsidP="00600F96">
      <w:pPr>
        <w:pStyle w:val="StandardWeb"/>
        <w:spacing w:line="360" w:lineRule="auto"/>
        <w:rPr>
          <w:rFonts w:ascii="Trebuchet MS" w:hAnsi="Trebuchet MS"/>
        </w:rPr>
      </w:pPr>
      <w:r w:rsidRPr="00A64E59">
        <w:rPr>
          <w:rFonts w:ascii="Trebuchet MS" w:hAnsi="Trebuchet MS"/>
          <w:b/>
        </w:rPr>
        <w:t>Verschreibungspflichtige Medikamente</w:t>
      </w:r>
      <w:r w:rsidRPr="00600F96">
        <w:rPr>
          <w:rFonts w:ascii="Trebuchet MS" w:hAnsi="Trebuchet MS"/>
        </w:rPr>
        <w:t xml:space="preserve"> werden von den gesetzlichen Krankenka</w:t>
      </w:r>
      <w:r w:rsidRPr="00600F96">
        <w:rPr>
          <w:rFonts w:ascii="Trebuchet MS" w:hAnsi="Trebuchet MS"/>
        </w:rPr>
        <w:t>s</w:t>
      </w:r>
      <w:r w:rsidRPr="00600F96">
        <w:rPr>
          <w:rFonts w:ascii="Trebuchet MS" w:hAnsi="Trebuchet MS"/>
        </w:rPr>
        <w:t xml:space="preserve">sen im Regelfall voll übernommen – mit Ausnahme der sog. </w:t>
      </w:r>
      <w:r w:rsidR="00767EF7">
        <w:rPr>
          <w:rFonts w:ascii="Trebuchet MS" w:hAnsi="Trebuchet MS"/>
        </w:rPr>
        <w:t xml:space="preserve">Rezeptgebühr von </w:t>
      </w:r>
    </w:p>
    <w:p w:rsidR="00332D5B" w:rsidRPr="00600F96" w:rsidRDefault="00767EF7" w:rsidP="00600F96">
      <w:pPr>
        <w:pStyle w:val="StandardWeb"/>
        <w:spacing w:line="360" w:lineRule="auto"/>
        <w:rPr>
          <w:rFonts w:ascii="Trebuchet MS" w:hAnsi="Trebuchet MS"/>
        </w:rPr>
      </w:pPr>
      <w:r>
        <w:rPr>
          <w:rFonts w:ascii="Trebuchet MS" w:hAnsi="Trebuchet MS"/>
        </w:rPr>
        <w:lastRenderedPageBreak/>
        <w:t>5,</w:t>
      </w:r>
      <w:r w:rsidR="00332D5B" w:rsidRPr="00600F96">
        <w:rPr>
          <w:rFonts w:ascii="Trebuchet MS" w:hAnsi="Trebuchet MS"/>
        </w:rPr>
        <w:t>70 €; dies gilt allerdings nur, wenn sie nach der Zulassung in den Erstattungsk</w:t>
      </w:r>
      <w:r w:rsidR="00332D5B" w:rsidRPr="00600F96">
        <w:rPr>
          <w:rFonts w:ascii="Trebuchet MS" w:hAnsi="Trebuchet MS"/>
        </w:rPr>
        <w:t>o</w:t>
      </w:r>
      <w:r w:rsidR="00332D5B" w:rsidRPr="00600F96">
        <w:rPr>
          <w:rFonts w:ascii="Trebuchet MS" w:hAnsi="Trebuchet MS"/>
        </w:rPr>
        <w:t>dex (EKO) aufgenommen wurden. Dies prüft in Österreich zunächst die Heilmittel-Evaluierungskommission (HEK), die endgültige Entscheidung fällt dann der Haup</w:t>
      </w:r>
      <w:r w:rsidR="00332D5B" w:rsidRPr="00600F96">
        <w:rPr>
          <w:rFonts w:ascii="Trebuchet MS" w:hAnsi="Trebuchet MS"/>
        </w:rPr>
        <w:t>t</w:t>
      </w:r>
      <w:r w:rsidR="00332D5B" w:rsidRPr="00600F96">
        <w:rPr>
          <w:rFonts w:ascii="Trebuchet MS" w:hAnsi="Trebuchet MS"/>
        </w:rPr>
        <w:t>verband der österreichischen Sozialversicherungsträger. Die Produkte werden dabei in pharmakologischer, medizinisch-therapeutischer und gesundheitsökonomischer Hinsicht bewertet.</w:t>
      </w:r>
      <w:r w:rsidR="00600F96" w:rsidRPr="00600F96">
        <w:rPr>
          <w:rFonts w:ascii="Trebuchet MS" w:hAnsi="Trebuchet MS"/>
        </w:rPr>
        <w:t xml:space="preserve"> Nur in begründeten Ausnahmefällen erstatten die Krankenkassen die Kosten eines nicht im EKO gelisteten Medikamentes; hierfür ist dann das Vorliegen einer chefärztlichen Bewilligung notwendig.</w:t>
      </w:r>
    </w:p>
    <w:p w:rsidR="00332D5B" w:rsidRPr="00600F96" w:rsidRDefault="00332D5B" w:rsidP="00600F96">
      <w:pPr>
        <w:pStyle w:val="StandardWeb"/>
        <w:spacing w:line="360" w:lineRule="auto"/>
        <w:rPr>
          <w:rFonts w:ascii="Trebuchet MS" w:hAnsi="Trebuchet MS"/>
        </w:rPr>
      </w:pPr>
      <w:r w:rsidRPr="00600F96">
        <w:rPr>
          <w:rFonts w:ascii="Trebuchet MS" w:hAnsi="Trebuchet MS"/>
        </w:rPr>
        <w:t>Die Arzneimittelpreise können die Unternehmen nicht selbst festlegen; vielmehr ist gesetzlich festgeschrieben, dass ein Medikament höchstens so viel kosten darf wie im EU-Durchschnitt. Zuständig für die Ermittlung des EU-Durchschnittspreises ist die im Bundesministerium für Arbeit, Soziales, Gesundheit und Konsumentenschutz (BMASGK) eingerichtete Preiskommission.</w:t>
      </w:r>
      <w:r w:rsidR="00600F96" w:rsidRPr="00600F96">
        <w:rPr>
          <w:rFonts w:ascii="Trebuchet MS" w:hAnsi="Trebuchet MS"/>
        </w:rPr>
        <w:t xml:space="preserve"> </w:t>
      </w:r>
    </w:p>
    <w:p w:rsidR="00AA5EDE" w:rsidRDefault="00022191" w:rsidP="00332D5B">
      <w:pPr>
        <w:spacing w:line="360" w:lineRule="auto"/>
      </w:pPr>
      <w:r>
        <w:t>Ist</w:t>
      </w:r>
      <w:r w:rsidR="00332D5B">
        <w:t xml:space="preserve"> für Patientinnen und Patienten</w:t>
      </w:r>
      <w:r>
        <w:t xml:space="preserve"> be</w:t>
      </w:r>
      <w:r w:rsidR="00332D5B">
        <w:t xml:space="preserve">i </w:t>
      </w:r>
      <w:r>
        <w:t xml:space="preserve">Zuzahlungen </w:t>
      </w:r>
      <w:r w:rsidR="00332D5B">
        <w:t>zu den Arzneimitteln (Rezep</w:t>
      </w:r>
      <w:r w:rsidR="00332D5B">
        <w:t>t</w:t>
      </w:r>
      <w:r w:rsidR="00332D5B">
        <w:t xml:space="preserve">gebühr) </w:t>
      </w:r>
      <w:r>
        <w:t>ein Betrag von 2 Prozent des Jahresnettoeinkommens erreicht, wird den Versicherten keine Rezeptgebühr mehr berechnet. Versicherte mit niedrigem Einkommen können eine Befreiung der Rezeptgebühr erhalten.</w:t>
      </w:r>
      <w:r w:rsidR="00AA5EDE">
        <w:t xml:space="preserve"> </w:t>
      </w:r>
    </w:p>
    <w:p w:rsidR="00AA5EDE" w:rsidRDefault="00AA5EDE" w:rsidP="00AA5EDE">
      <w:pPr>
        <w:spacing w:line="360" w:lineRule="auto"/>
      </w:pPr>
    </w:p>
    <w:p w:rsidR="00F978CE" w:rsidRDefault="00F978CE" w:rsidP="00F978CE">
      <w:pPr>
        <w:spacing w:line="360" w:lineRule="auto"/>
        <w:rPr>
          <w:b/>
        </w:rPr>
      </w:pPr>
      <w:r>
        <w:t>Interessanterweise gilt die Versorgung in Österreich als besonders „krankenhausla</w:t>
      </w:r>
      <w:r>
        <w:t>s</w:t>
      </w:r>
      <w:r>
        <w:t>tig“; trotzdem hat Österreich im Verhältnis genauso viele ambulant tätige Ärzte wie Krankenhausärzte. In Deutschland sind hingegen doppelt so viele Krankenhau</w:t>
      </w:r>
      <w:r>
        <w:t>s</w:t>
      </w:r>
      <w:r>
        <w:t>ärzte wie ambulante Vertragsärzte tätig, trotzdem die Ambulantisierung hier in den letzten Jahren sehr gefördert wurde.</w:t>
      </w:r>
      <w:r w:rsidRPr="00022191">
        <w:rPr>
          <w:b/>
        </w:rPr>
        <w:t xml:space="preserve"> </w:t>
      </w:r>
    </w:p>
    <w:p w:rsidR="00484BDE" w:rsidRDefault="00484BDE" w:rsidP="00F978CE">
      <w:pPr>
        <w:spacing w:line="360" w:lineRule="auto"/>
        <w:rPr>
          <w:b/>
        </w:rPr>
      </w:pPr>
    </w:p>
    <w:p w:rsidR="00484BDE" w:rsidRPr="004C39AE" w:rsidRDefault="00484BDE" w:rsidP="00F978CE">
      <w:pPr>
        <w:spacing w:line="360" w:lineRule="auto"/>
      </w:pPr>
      <w:r w:rsidRPr="004C39AE">
        <w:t>Insgesamt gibt es zwar eine hohe Zufriedenheit der Bevölkerung mit diesem Gesundheitssystem; zugleich wird dieses System für seine Nutzer als unübersich</w:t>
      </w:r>
      <w:r w:rsidRPr="004C39AE">
        <w:t>t</w:t>
      </w:r>
      <w:r w:rsidRPr="004C39AE">
        <w:t>lich, mangelhaft integriert, ungleich dimensioniert und sozial selektiv bezeichnet.</w:t>
      </w:r>
      <w:r w:rsidR="004C39AE" w:rsidRPr="004C39AE">
        <w:rPr>
          <w:rStyle w:val="Funotenzeichen"/>
        </w:rPr>
        <w:footnoteReference w:id="1"/>
      </w:r>
    </w:p>
    <w:p w:rsidR="00F978CE" w:rsidRDefault="00F978CE" w:rsidP="00F978CE">
      <w:pPr>
        <w:spacing w:line="360" w:lineRule="auto"/>
        <w:rPr>
          <w:b/>
        </w:rPr>
      </w:pPr>
    </w:p>
    <w:p w:rsidR="00590F05" w:rsidRPr="00F978CE" w:rsidRDefault="0068625C" w:rsidP="00F978CE">
      <w:pPr>
        <w:pStyle w:val="Listenabsatz"/>
        <w:numPr>
          <w:ilvl w:val="0"/>
          <w:numId w:val="17"/>
        </w:numPr>
        <w:spacing w:line="360" w:lineRule="auto"/>
        <w:rPr>
          <w:b/>
        </w:rPr>
      </w:pPr>
      <w:r w:rsidRPr="00F978CE">
        <w:rPr>
          <w:b/>
        </w:rPr>
        <w:t>Schweiz</w:t>
      </w:r>
      <w:r w:rsidR="00225D81" w:rsidRPr="00F978CE">
        <w:rPr>
          <w:b/>
        </w:rPr>
        <w:t>erische Eidgenossenschaft</w:t>
      </w:r>
    </w:p>
    <w:p w:rsidR="00225D81" w:rsidRPr="00225D81" w:rsidRDefault="00225D81" w:rsidP="00225D81">
      <w:pPr>
        <w:ind w:left="360"/>
        <w:rPr>
          <w:b/>
        </w:rPr>
      </w:pPr>
    </w:p>
    <w:p w:rsidR="00FA401E" w:rsidRDefault="0068625C" w:rsidP="00683455">
      <w:pPr>
        <w:spacing w:after="200" w:line="360" w:lineRule="auto"/>
      </w:pPr>
      <w:r>
        <w:t>In der Schweiz</w:t>
      </w:r>
      <w:r w:rsidR="00667A32">
        <w:t xml:space="preserve"> ist jeder Bürger verpflichtet, sich </w:t>
      </w:r>
      <w:r w:rsidR="00F978CE">
        <w:t xml:space="preserve">selbst </w:t>
      </w:r>
      <w:r>
        <w:t>grund</w:t>
      </w:r>
      <w:r w:rsidR="00A64E59">
        <w:t>zu</w:t>
      </w:r>
      <w:r w:rsidR="00667A32">
        <w:t xml:space="preserve">versichern; er </w:t>
      </w:r>
      <w:r>
        <w:t>zahlt monatlich Prämien an</w:t>
      </w:r>
      <w:r w:rsidR="00527295">
        <w:t xml:space="preserve"> eine </w:t>
      </w:r>
      <w:r w:rsidR="0072173B">
        <w:t xml:space="preserve">private </w:t>
      </w:r>
      <w:r w:rsidR="00527295">
        <w:t>Krankenkasse seiner Wahl</w:t>
      </w:r>
      <w:r w:rsidR="00590F05">
        <w:t>, die sich nicht nach seinem Einkommen richten</w:t>
      </w:r>
      <w:r w:rsidR="00527295">
        <w:t xml:space="preserve">. </w:t>
      </w:r>
      <w:r w:rsidR="0072173B">
        <w:t xml:space="preserve">Zwischen den Kassen findet ein Risikoausgleich </w:t>
      </w:r>
      <w:r w:rsidR="00590F05">
        <w:t>inne</w:t>
      </w:r>
      <w:r w:rsidR="00590F05">
        <w:t>r</w:t>
      </w:r>
      <w:r w:rsidR="00590F05">
        <w:t>halb eine</w:t>
      </w:r>
      <w:r w:rsidR="00767EF7">
        <w:t>s</w:t>
      </w:r>
      <w:r w:rsidR="00590F05">
        <w:t xml:space="preserve"> Kantons </w:t>
      </w:r>
      <w:r w:rsidR="0072173B">
        <w:t>statt, damit Kas</w:t>
      </w:r>
      <w:r w:rsidR="00590F05">
        <w:t>sen mit besonders vielen älteren Mitgliedern</w:t>
      </w:r>
      <w:r w:rsidR="0072173B">
        <w:t xml:space="preserve"> nicht benachteiligt werden</w:t>
      </w:r>
      <w:r w:rsidR="00590F05">
        <w:t>; der Risikoausgleich findet jedoch nur über Alter und Geschlecht statt, nicht nach Krankheitslast</w:t>
      </w:r>
      <w:r w:rsidR="0072173B">
        <w:t xml:space="preserve">. </w:t>
      </w:r>
      <w:r w:rsidR="00527295">
        <w:t xml:space="preserve">Die </w:t>
      </w:r>
      <w:r>
        <w:t xml:space="preserve">Prämien sind je nach Kasse und Kanton unterschiedlich hoch. Wer </w:t>
      </w:r>
      <w:r w:rsidR="00667A32">
        <w:t>unterhalb von bestimmten Einkommensgrenzen lebt</w:t>
      </w:r>
      <w:r w:rsidR="00767EF7">
        <w:t xml:space="preserve">, bekommt vom Wohnortskanton </w:t>
      </w:r>
      <w:r w:rsidR="00527295">
        <w:rPr>
          <w:rFonts w:eastAsiaTheme="majorEastAsia"/>
        </w:rPr>
        <w:t>Zuschüsse bzw. eine preiswertere Prämie</w:t>
      </w:r>
      <w:r w:rsidR="0072173B">
        <w:rPr>
          <w:rFonts w:eastAsiaTheme="majorEastAsia"/>
        </w:rPr>
        <w:t>; rund 30 Prozent der Bevölkerung sind hiervon betroffen</w:t>
      </w:r>
      <w:r>
        <w:t xml:space="preserve">. </w:t>
      </w:r>
      <w:r w:rsidR="00527295">
        <w:t>Eine Risikoselektion besteht n</w:t>
      </w:r>
      <w:r>
        <w:t>ur bei den privaten Zusatzversicherun</w:t>
      </w:r>
      <w:r w:rsidR="00527295">
        <w:t>gen, bei der Grundversicherung sind die Krankenkassen verpflichtet, jeden zu versichern. Dabei müssen sich die Patie</w:t>
      </w:r>
      <w:r w:rsidR="00527295">
        <w:t>n</w:t>
      </w:r>
      <w:r w:rsidR="00527295">
        <w:t xml:space="preserve">ten im Grundsatz </w:t>
      </w:r>
      <w:r w:rsidR="00FA401E">
        <w:t xml:space="preserve">bis 300 Franken jährlich mit </w:t>
      </w:r>
      <w:r w:rsidR="00FA401E" w:rsidRPr="008526E8">
        <w:rPr>
          <w:rFonts w:eastAsiaTheme="majorEastAsia"/>
        </w:rPr>
        <w:t>an den Kosten beteiligen</w:t>
      </w:r>
      <w:r w:rsidR="00527295">
        <w:t xml:space="preserve">, können aber auch </w:t>
      </w:r>
      <w:r w:rsidR="00FA401E">
        <w:t>höhere</w:t>
      </w:r>
      <w:r w:rsidR="008526E8">
        <w:t xml:space="preserve"> Anteil</w:t>
      </w:r>
      <w:r w:rsidR="00527295">
        <w:t>e</w:t>
      </w:r>
      <w:r w:rsidR="00FA401E">
        <w:t xml:space="preserve"> wählen</w:t>
      </w:r>
      <w:r w:rsidR="00527295">
        <w:t xml:space="preserve"> (bis 2500 Franken)  und </w:t>
      </w:r>
      <w:r w:rsidR="00FA401E">
        <w:t>weniger Prämien</w:t>
      </w:r>
      <w:r w:rsidR="00527295">
        <w:t xml:space="preserve"> zahlen</w:t>
      </w:r>
      <w:r w:rsidR="00FA401E">
        <w:t xml:space="preserve">. </w:t>
      </w:r>
      <w:r w:rsidR="008526E8">
        <w:t>Auch nach Überschreitung des Anteils</w:t>
      </w:r>
      <w:r w:rsidR="00FA401E">
        <w:t xml:space="preserve"> bezahlt der Patient </w:t>
      </w:r>
      <w:r w:rsidR="00527295">
        <w:t xml:space="preserve">jedoch </w:t>
      </w:r>
      <w:r w:rsidR="00FA401E">
        <w:t xml:space="preserve">bei jeder Leistung einen Selbstbehalt von 10% - </w:t>
      </w:r>
      <w:r w:rsidR="00527295">
        <w:t>20%</w:t>
      </w:r>
      <w:r w:rsidR="00FA401E">
        <w:t xml:space="preserve"> bis zum maximalen Betrag von 700 Franken. Bei einem Spitalaufenthalt zahlt der Patient zudem einen täglichen Beitrag von 15 Franken.</w:t>
      </w:r>
    </w:p>
    <w:p w:rsidR="00590F05" w:rsidRDefault="00527295" w:rsidP="00683455">
      <w:pPr>
        <w:spacing w:line="360" w:lineRule="auto"/>
      </w:pPr>
      <w:r>
        <w:t>Die Krankenversicherungen</w:t>
      </w:r>
      <w:r w:rsidR="00590F05">
        <w:t>, die sowohl privatrechtlich als auch öffentlich rechtlich ausgestaltet sein können,</w:t>
      </w:r>
      <w:r>
        <w:t xml:space="preserve"> stehen im Wettbewerb zueinander, ihre Tarife und Bedingungen sind jedoch staatlich reglementiert. Leistungserbringer wie Ärzte </w:t>
      </w:r>
      <w:r w:rsidR="00F978CE">
        <w:t>und Krankenhäuser können rechtlich sowohl in staatlich</w:t>
      </w:r>
      <w:r w:rsidR="00235F6D">
        <w:t>er</w:t>
      </w:r>
      <w:r w:rsidR="00F978CE">
        <w:t xml:space="preserve"> Form als auch</w:t>
      </w:r>
      <w:r>
        <w:t xml:space="preserve"> privat</w:t>
      </w:r>
      <w:r w:rsidR="00F978CE">
        <w:t>rechtlich</w:t>
      </w:r>
      <w:r>
        <w:t xml:space="preserve"> ausgestaltet</w:t>
      </w:r>
      <w:r w:rsidR="00F978CE">
        <w:t xml:space="preserve"> sein</w:t>
      </w:r>
      <w:r>
        <w:t xml:space="preserve">. </w:t>
      </w:r>
      <w:r w:rsidR="0072173B">
        <w:t xml:space="preserve">Die </w:t>
      </w:r>
      <w:r w:rsidR="00590F05">
        <w:t xml:space="preserve">staatlichen </w:t>
      </w:r>
      <w:r w:rsidR="00F978CE">
        <w:t>Krankenhäuser werden teils</w:t>
      </w:r>
      <w:r w:rsidR="0072173B">
        <w:t xml:space="preserve"> über die Kantone bezahlt, teils über die abgerechneten Fälle, so dass Patientinnen und Patienten aus dem jeweiligen Kanton weniger bezahlen. </w:t>
      </w:r>
      <w:r>
        <w:t xml:space="preserve">Auch die Regelungsbereiche sind stark zersplittert: Obwohl die Gesundheitsversorgung an sich Sache der Kantone ist, </w:t>
      </w:r>
      <w:r w:rsidR="00683455">
        <w:t>sind viele Bereiche national geregelt.</w:t>
      </w:r>
      <w:r w:rsidR="00590F05">
        <w:t xml:space="preserve"> Privatkrankenhäuser haben höhere Behandlung</w:t>
      </w:r>
      <w:r w:rsidR="00590F05">
        <w:t>s</w:t>
      </w:r>
      <w:r w:rsidR="00590F05">
        <w:t>taxen, die von der Grundversicherung nicht erstattet werden.</w:t>
      </w:r>
    </w:p>
    <w:p w:rsidR="008F310F" w:rsidRDefault="008F310F" w:rsidP="00683455">
      <w:pPr>
        <w:spacing w:line="360" w:lineRule="auto"/>
      </w:pPr>
    </w:p>
    <w:p w:rsidR="00590F05" w:rsidRDefault="00590F05" w:rsidP="00683455">
      <w:pPr>
        <w:spacing w:line="360" w:lineRule="auto"/>
      </w:pPr>
      <w:r w:rsidRPr="008F310F">
        <w:rPr>
          <w:b/>
        </w:rPr>
        <w:t>Zahnbehandlungen</w:t>
      </w:r>
      <w:r>
        <w:t xml:space="preserve"> werden nicht erstattet; es gibt private Zusatzversicherungen, die allerdings wegen der hohen Kosten nur selten genutzt werden. Insoweit beza</w:t>
      </w:r>
      <w:r>
        <w:t>h</w:t>
      </w:r>
      <w:r>
        <w:t>len die meisten Schweizer ihre Zahnbehandlungen selbst. Gleiches gilt für das Krankengeld.</w:t>
      </w:r>
    </w:p>
    <w:p w:rsidR="00683455" w:rsidRDefault="00683455" w:rsidP="00683455">
      <w:pPr>
        <w:spacing w:line="360" w:lineRule="auto"/>
      </w:pPr>
    </w:p>
    <w:p w:rsidR="00F978CE" w:rsidRPr="00492C68" w:rsidRDefault="00F978CE" w:rsidP="00686D79">
      <w:pPr>
        <w:spacing w:line="360" w:lineRule="auto"/>
      </w:pPr>
      <w:r w:rsidRPr="00BB0DEB">
        <w:rPr>
          <w:b/>
        </w:rPr>
        <w:t>Arzneimittel</w:t>
      </w:r>
      <w:r>
        <w:t xml:space="preserve"> müssen nicht</w:t>
      </w:r>
      <w:r w:rsidR="00686D79">
        <w:t xml:space="preserve"> nur durch Swissmedic </w:t>
      </w:r>
      <w:r>
        <w:t>zugelassen werden, sondern auch über das Bundesamt für Gesundheit</w:t>
      </w:r>
      <w:r w:rsidR="00686D79">
        <w:rPr>
          <w:rStyle w:val="Funotenzeichen"/>
        </w:rPr>
        <w:footnoteReference w:id="2"/>
      </w:r>
      <w:r>
        <w:t xml:space="preserve"> auf eine sog. Spezialitätenliste, also eine Art Positivliste, aufgenommen werden, damit sie von der </w:t>
      </w:r>
      <w:r w:rsidR="00686D79">
        <w:t>obligatorischen Krankenvers</w:t>
      </w:r>
      <w:r w:rsidR="00686D79">
        <w:t>i</w:t>
      </w:r>
      <w:r w:rsidR="00686D79">
        <w:t>cherung erstattet wird. Das Bundesamt legt den maximalen Vergütungspreis eines Medikamentes nach dem therapeutischen Zusatznutzen gegenüber den bereits zugelassenen Arzneimitteln derselben Indikation fest.</w:t>
      </w:r>
      <w:r w:rsidR="00686D79">
        <w:rPr>
          <w:rFonts w:ascii="Times New Roman" w:hAnsi="Times New Roman"/>
        </w:rPr>
        <w:t xml:space="preserve"> </w:t>
      </w:r>
      <w:r w:rsidR="00686D79" w:rsidRPr="00492C68">
        <w:t>Die Zulassungsbehörde legt aber auch fest, wer dieses neue Medikament abgeben darf: So dürfen in der Schweiz nicht nur Apotheken, sondern auch Spitäler (Krankenhäuser), sog. SD- Ärzte oder Drogerien Arzneimittel abgeben.</w:t>
      </w:r>
    </w:p>
    <w:p w:rsidR="00F978CE" w:rsidRDefault="00F978CE" w:rsidP="00683455">
      <w:pPr>
        <w:spacing w:line="360" w:lineRule="auto"/>
      </w:pPr>
    </w:p>
    <w:p w:rsidR="00683455" w:rsidRDefault="00683455" w:rsidP="00683455">
      <w:pPr>
        <w:spacing w:line="360" w:lineRule="auto"/>
      </w:pPr>
      <w:r>
        <w:t xml:space="preserve">Für Patientinnen und </w:t>
      </w:r>
      <w:r w:rsidR="00492C68">
        <w:t>Patienten ist dieses System schwer</w:t>
      </w:r>
      <w:r>
        <w:t xml:space="preserve"> durchschaubar, so dass auch hier eine Aufgabe der Selbsthilfe darin zu sehen ist, entsprechende Hilfeste</w:t>
      </w:r>
      <w:r>
        <w:t>l</w:t>
      </w:r>
      <w:r>
        <w:t>lungen zu liefern.</w:t>
      </w:r>
      <w:r w:rsidR="00570609">
        <w:t xml:space="preserve"> Zudem ist die Situation für Menschen mit chronischer Erkrankung besonders prekär, da sie durch die hohen Eigenbelastungen besonders belastet werden.</w:t>
      </w:r>
    </w:p>
    <w:p w:rsidR="004B2ADA" w:rsidRDefault="004B2ADA" w:rsidP="00683455">
      <w:pPr>
        <w:spacing w:line="360" w:lineRule="auto"/>
      </w:pPr>
    </w:p>
    <w:p w:rsidR="00686D79" w:rsidRPr="00A86AC5" w:rsidRDefault="00686D79" w:rsidP="00686D79">
      <w:pPr>
        <w:pStyle w:val="Listenabsatz"/>
        <w:numPr>
          <w:ilvl w:val="0"/>
          <w:numId w:val="17"/>
        </w:numPr>
        <w:spacing w:line="360" w:lineRule="auto"/>
        <w:rPr>
          <w:b/>
        </w:rPr>
      </w:pPr>
      <w:r w:rsidRPr="00A86AC5">
        <w:rPr>
          <w:b/>
        </w:rPr>
        <w:t>Übersicht</w:t>
      </w:r>
    </w:p>
    <w:p w:rsidR="00686D79" w:rsidRDefault="00686D79" w:rsidP="00686D79">
      <w:pPr>
        <w:spacing w:line="360" w:lineRule="auto"/>
      </w:pPr>
    </w:p>
    <w:p w:rsidR="00686D79" w:rsidRDefault="00686D79" w:rsidP="00686D79">
      <w:pPr>
        <w:spacing w:line="360" w:lineRule="auto"/>
      </w:pPr>
      <w:r>
        <w:t>Folgende Gemeinsamkeiten und Unterschiede gibt es somit in den jeweiligen Gesundheitssystemen</w:t>
      </w:r>
      <w:r w:rsidR="00A86AC5">
        <w:t>:</w:t>
      </w:r>
    </w:p>
    <w:p w:rsidR="00686D79" w:rsidRDefault="00686D79" w:rsidP="00686D79">
      <w:pPr>
        <w:spacing w:line="360" w:lineRule="auto"/>
      </w:pPr>
    </w:p>
    <w:tbl>
      <w:tblPr>
        <w:tblStyle w:val="Tabellenraster"/>
        <w:tblW w:w="0" w:type="auto"/>
        <w:tblLook w:val="04A0" w:firstRow="1" w:lastRow="0" w:firstColumn="1" w:lastColumn="0" w:noHBand="0" w:noVBand="1"/>
      </w:tblPr>
      <w:tblGrid>
        <w:gridCol w:w="1754"/>
        <w:gridCol w:w="2744"/>
        <w:gridCol w:w="2571"/>
        <w:gridCol w:w="2219"/>
      </w:tblGrid>
      <w:tr w:rsidR="00936A9F" w:rsidTr="008D7F4B">
        <w:tc>
          <w:tcPr>
            <w:tcW w:w="1754" w:type="dxa"/>
          </w:tcPr>
          <w:p w:rsidR="00686D79" w:rsidRPr="00A86AC5" w:rsidRDefault="00A86AC5" w:rsidP="00686D79">
            <w:pPr>
              <w:spacing w:line="360" w:lineRule="auto"/>
              <w:rPr>
                <w:b/>
              </w:rPr>
            </w:pPr>
            <w:r w:rsidRPr="00A86AC5">
              <w:rPr>
                <w:b/>
              </w:rPr>
              <w:t>Bereich</w:t>
            </w:r>
          </w:p>
        </w:tc>
        <w:tc>
          <w:tcPr>
            <w:tcW w:w="2744" w:type="dxa"/>
          </w:tcPr>
          <w:p w:rsidR="00686D79" w:rsidRPr="00A86AC5" w:rsidRDefault="00686D79" w:rsidP="00686D79">
            <w:pPr>
              <w:spacing w:line="360" w:lineRule="auto"/>
              <w:rPr>
                <w:b/>
              </w:rPr>
            </w:pPr>
            <w:r w:rsidRPr="00A86AC5">
              <w:rPr>
                <w:b/>
              </w:rPr>
              <w:t>Deutschland</w:t>
            </w:r>
          </w:p>
        </w:tc>
        <w:tc>
          <w:tcPr>
            <w:tcW w:w="2571" w:type="dxa"/>
          </w:tcPr>
          <w:p w:rsidR="00686D79" w:rsidRPr="00A86AC5" w:rsidRDefault="00686D79" w:rsidP="00686D79">
            <w:pPr>
              <w:spacing w:line="360" w:lineRule="auto"/>
              <w:rPr>
                <w:b/>
              </w:rPr>
            </w:pPr>
            <w:r w:rsidRPr="00A86AC5">
              <w:rPr>
                <w:b/>
              </w:rPr>
              <w:t>Österreich</w:t>
            </w:r>
          </w:p>
        </w:tc>
        <w:tc>
          <w:tcPr>
            <w:tcW w:w="2219" w:type="dxa"/>
          </w:tcPr>
          <w:p w:rsidR="00686D79" w:rsidRPr="00A86AC5" w:rsidRDefault="00686D79" w:rsidP="00686D79">
            <w:pPr>
              <w:spacing w:line="360" w:lineRule="auto"/>
              <w:rPr>
                <w:b/>
              </w:rPr>
            </w:pPr>
            <w:r w:rsidRPr="00A86AC5">
              <w:rPr>
                <w:b/>
              </w:rPr>
              <w:t>Schweiz</w:t>
            </w:r>
          </w:p>
        </w:tc>
      </w:tr>
      <w:tr w:rsidR="00936A9F" w:rsidTr="008D7F4B">
        <w:tc>
          <w:tcPr>
            <w:tcW w:w="1754" w:type="dxa"/>
          </w:tcPr>
          <w:p w:rsidR="00686D79" w:rsidRPr="00A86AC5" w:rsidRDefault="00686D79" w:rsidP="00686D79">
            <w:pPr>
              <w:spacing w:line="360" w:lineRule="auto"/>
              <w:rPr>
                <w:b/>
              </w:rPr>
            </w:pPr>
            <w:r w:rsidRPr="00A86AC5">
              <w:rPr>
                <w:b/>
              </w:rPr>
              <w:t>System</w:t>
            </w:r>
          </w:p>
        </w:tc>
        <w:tc>
          <w:tcPr>
            <w:tcW w:w="2744" w:type="dxa"/>
          </w:tcPr>
          <w:p w:rsidR="00686D79" w:rsidRDefault="00686D79" w:rsidP="00686D79">
            <w:pPr>
              <w:spacing w:line="360" w:lineRule="auto"/>
            </w:pPr>
            <w:r>
              <w:t xml:space="preserve">Gesetzliche und </w:t>
            </w:r>
            <w:r>
              <w:lastRenderedPageBreak/>
              <w:t>private Krankenkassen</w:t>
            </w:r>
          </w:p>
        </w:tc>
        <w:tc>
          <w:tcPr>
            <w:tcW w:w="2571" w:type="dxa"/>
          </w:tcPr>
          <w:p w:rsidR="00686D79" w:rsidRDefault="00686D79" w:rsidP="00686D79">
            <w:pPr>
              <w:spacing w:line="360" w:lineRule="auto"/>
            </w:pPr>
            <w:r>
              <w:lastRenderedPageBreak/>
              <w:t>Gesetzliche Kranke</w:t>
            </w:r>
            <w:r>
              <w:t>n</w:t>
            </w:r>
            <w:r>
              <w:lastRenderedPageBreak/>
              <w:t>kassen</w:t>
            </w:r>
          </w:p>
        </w:tc>
        <w:tc>
          <w:tcPr>
            <w:tcW w:w="2219" w:type="dxa"/>
          </w:tcPr>
          <w:p w:rsidR="00686D79" w:rsidRDefault="00686D79" w:rsidP="00686D79">
            <w:pPr>
              <w:spacing w:line="360" w:lineRule="auto"/>
            </w:pPr>
            <w:r>
              <w:lastRenderedPageBreak/>
              <w:t>Private Kranke</w:t>
            </w:r>
            <w:r>
              <w:t>n</w:t>
            </w:r>
            <w:r>
              <w:lastRenderedPageBreak/>
              <w:t>kassen mit Pflicht zur Grundvers</w:t>
            </w:r>
            <w:r>
              <w:t>i</w:t>
            </w:r>
            <w:r>
              <w:t>cherung</w:t>
            </w:r>
          </w:p>
        </w:tc>
      </w:tr>
      <w:tr w:rsidR="00936A9F" w:rsidTr="008D7F4B">
        <w:tc>
          <w:tcPr>
            <w:tcW w:w="1754" w:type="dxa"/>
          </w:tcPr>
          <w:p w:rsidR="00686D79" w:rsidRPr="00A86AC5" w:rsidRDefault="00686D79" w:rsidP="00686D79">
            <w:pPr>
              <w:spacing w:line="360" w:lineRule="auto"/>
              <w:rPr>
                <w:b/>
              </w:rPr>
            </w:pPr>
            <w:r w:rsidRPr="00A86AC5">
              <w:rPr>
                <w:b/>
              </w:rPr>
              <w:lastRenderedPageBreak/>
              <w:t>Steuerung des Systems</w:t>
            </w:r>
          </w:p>
        </w:tc>
        <w:tc>
          <w:tcPr>
            <w:tcW w:w="2744" w:type="dxa"/>
          </w:tcPr>
          <w:p w:rsidR="00686D79" w:rsidRDefault="00A86AC5" w:rsidP="00686D79">
            <w:pPr>
              <w:spacing w:line="360" w:lineRule="auto"/>
            </w:pPr>
            <w:r>
              <w:t xml:space="preserve">Bundes-/ </w:t>
            </w:r>
            <w:r w:rsidR="00936A9F">
              <w:t>Landesg</w:t>
            </w:r>
            <w:r w:rsidR="00686D79">
              <w:t>e</w:t>
            </w:r>
            <w:r w:rsidR="00686D79">
              <w:t>setzgeber</w:t>
            </w:r>
            <w:r>
              <w:t xml:space="preserve"> (Kranke</w:t>
            </w:r>
            <w:r>
              <w:t>n</w:t>
            </w:r>
            <w:r>
              <w:t>hausplanung)</w:t>
            </w:r>
            <w:r w:rsidR="00686D79">
              <w:t xml:space="preserve"> und Selbstverwaltung </w:t>
            </w:r>
          </w:p>
        </w:tc>
        <w:tc>
          <w:tcPr>
            <w:tcW w:w="2571" w:type="dxa"/>
          </w:tcPr>
          <w:p w:rsidR="00686D79" w:rsidRDefault="00936A9F" w:rsidP="00686D79">
            <w:pPr>
              <w:spacing w:line="360" w:lineRule="auto"/>
            </w:pPr>
            <w:r>
              <w:t>Bundes- und Lande</w:t>
            </w:r>
            <w:r>
              <w:t>s</w:t>
            </w:r>
            <w:r>
              <w:t>gesetzgeber und Sozialversicherung</w:t>
            </w:r>
            <w:r>
              <w:t>s</w:t>
            </w:r>
            <w:r>
              <w:t>träger</w:t>
            </w:r>
          </w:p>
        </w:tc>
        <w:tc>
          <w:tcPr>
            <w:tcW w:w="2219" w:type="dxa"/>
          </w:tcPr>
          <w:p w:rsidR="00686D79" w:rsidRDefault="00686D79" w:rsidP="00686D79">
            <w:pPr>
              <w:spacing w:line="360" w:lineRule="auto"/>
            </w:pPr>
            <w:r>
              <w:t>Nationaler Gesetzgeber und Kantone</w:t>
            </w:r>
          </w:p>
        </w:tc>
      </w:tr>
      <w:tr w:rsidR="00936A9F" w:rsidTr="008D7F4B">
        <w:tc>
          <w:tcPr>
            <w:tcW w:w="1754" w:type="dxa"/>
          </w:tcPr>
          <w:p w:rsidR="00686D79" w:rsidRPr="00A86AC5" w:rsidRDefault="00936A9F" w:rsidP="00686D79">
            <w:pPr>
              <w:spacing w:line="360" w:lineRule="auto"/>
              <w:rPr>
                <w:b/>
              </w:rPr>
            </w:pPr>
            <w:r w:rsidRPr="00A86AC5">
              <w:rPr>
                <w:b/>
              </w:rPr>
              <w:t>Finanzierung</w:t>
            </w:r>
          </w:p>
        </w:tc>
        <w:tc>
          <w:tcPr>
            <w:tcW w:w="2744" w:type="dxa"/>
          </w:tcPr>
          <w:p w:rsidR="00936A9F" w:rsidRDefault="00936A9F" w:rsidP="00686D79">
            <w:pPr>
              <w:spacing w:line="360" w:lineRule="auto"/>
            </w:pPr>
            <w:r w:rsidRPr="00A86AC5">
              <w:rPr>
                <w:u w:val="single"/>
              </w:rPr>
              <w:t>Gesetzliche Versich</w:t>
            </w:r>
            <w:r w:rsidRPr="00A86AC5">
              <w:rPr>
                <w:u w:val="single"/>
              </w:rPr>
              <w:t>e</w:t>
            </w:r>
            <w:r w:rsidRPr="00A86AC5">
              <w:rPr>
                <w:u w:val="single"/>
              </w:rPr>
              <w:t>rung:</w:t>
            </w:r>
            <w:r>
              <w:t xml:space="preserve"> Hälftige Beiträge Arbeitgeber/ Arbei</w:t>
            </w:r>
            <w:r>
              <w:t>t</w:t>
            </w:r>
            <w:r>
              <w:t>nehmer nach Einko</w:t>
            </w:r>
            <w:r>
              <w:t>m</w:t>
            </w:r>
            <w:r>
              <w:t xml:space="preserve">men gestaffelt, Zuzahlungen und Eigenanteile von Patienten, </w:t>
            </w:r>
          </w:p>
          <w:p w:rsidR="00686D79" w:rsidRDefault="00936A9F" w:rsidP="00686D79">
            <w:pPr>
              <w:spacing w:line="360" w:lineRule="auto"/>
            </w:pPr>
            <w:r>
              <w:t>Steuerzuschüsse</w:t>
            </w:r>
          </w:p>
          <w:p w:rsidR="00936A9F" w:rsidRDefault="00936A9F" w:rsidP="00686D79">
            <w:pPr>
              <w:spacing w:line="360" w:lineRule="auto"/>
            </w:pPr>
            <w:r w:rsidRPr="00A86AC5">
              <w:rPr>
                <w:u w:val="single"/>
              </w:rPr>
              <w:t xml:space="preserve">Private Versicherung: </w:t>
            </w:r>
            <w:r>
              <w:t>Kopfprämien mit Risikozuschlägen</w:t>
            </w:r>
          </w:p>
          <w:p w:rsidR="00936A9F" w:rsidRDefault="00936A9F" w:rsidP="00686D79">
            <w:pPr>
              <w:spacing w:line="360" w:lineRule="auto"/>
            </w:pPr>
          </w:p>
          <w:p w:rsidR="00936A9F" w:rsidRDefault="00936A9F" w:rsidP="00686D79">
            <w:pPr>
              <w:spacing w:line="360" w:lineRule="auto"/>
            </w:pPr>
          </w:p>
        </w:tc>
        <w:tc>
          <w:tcPr>
            <w:tcW w:w="2571" w:type="dxa"/>
          </w:tcPr>
          <w:p w:rsidR="00686D79" w:rsidRDefault="00936A9F" w:rsidP="00686D79">
            <w:pPr>
              <w:spacing w:line="360" w:lineRule="auto"/>
            </w:pPr>
            <w:r>
              <w:t>Hälftige Beiträge Arbeitgeber/ Arbei</w:t>
            </w:r>
            <w:r>
              <w:t>t</w:t>
            </w:r>
            <w:r>
              <w:t>nehmer bei Arbei</w:t>
            </w:r>
            <w:r>
              <w:t>t</w:t>
            </w:r>
            <w:r>
              <w:t>nehmern,</w:t>
            </w:r>
          </w:p>
          <w:p w:rsidR="00936A9F" w:rsidRDefault="00A86AC5" w:rsidP="00686D79">
            <w:pPr>
              <w:spacing w:line="360" w:lineRule="auto"/>
            </w:pPr>
            <w:r>
              <w:t>ansonsten Beiträge bei Selbständigen</w:t>
            </w:r>
          </w:p>
          <w:p w:rsidR="00936A9F" w:rsidRDefault="00936A9F" w:rsidP="00686D79">
            <w:pPr>
              <w:spacing w:line="360" w:lineRule="auto"/>
            </w:pPr>
          </w:p>
          <w:p w:rsidR="00936A9F" w:rsidRDefault="00936A9F" w:rsidP="00686D79">
            <w:pPr>
              <w:spacing w:line="360" w:lineRule="auto"/>
            </w:pPr>
            <w:r>
              <w:t>Ferner Steuerz</w:t>
            </w:r>
            <w:r>
              <w:t>u</w:t>
            </w:r>
            <w:r>
              <w:t>schüsse</w:t>
            </w:r>
          </w:p>
        </w:tc>
        <w:tc>
          <w:tcPr>
            <w:tcW w:w="2219" w:type="dxa"/>
          </w:tcPr>
          <w:p w:rsidR="00686D79" w:rsidRDefault="00936A9F" w:rsidP="00686D79">
            <w:pPr>
              <w:spacing w:line="360" w:lineRule="auto"/>
            </w:pPr>
            <w:r>
              <w:t>Pauschale Grun</w:t>
            </w:r>
            <w:r>
              <w:t>d</w:t>
            </w:r>
            <w:r>
              <w:t>prämie mit der Möglichkeit einer Prämienverbill</w:t>
            </w:r>
            <w:r>
              <w:t>i</w:t>
            </w:r>
            <w:r>
              <w:t>gung für Einko</w:t>
            </w:r>
            <w:r>
              <w:t>m</w:t>
            </w:r>
            <w:r>
              <w:t>mensschwache</w:t>
            </w:r>
          </w:p>
          <w:p w:rsidR="00936A9F" w:rsidRDefault="00936A9F" w:rsidP="00686D79">
            <w:pPr>
              <w:spacing w:line="360" w:lineRule="auto"/>
            </w:pPr>
          </w:p>
          <w:p w:rsidR="00936A9F" w:rsidRDefault="00936A9F" w:rsidP="00686D79">
            <w:pPr>
              <w:spacing w:line="360" w:lineRule="auto"/>
            </w:pPr>
            <w:r>
              <w:t>Zusatzprämien möglich</w:t>
            </w:r>
          </w:p>
          <w:p w:rsidR="00936A9F" w:rsidRDefault="00936A9F" w:rsidP="00686D79">
            <w:pPr>
              <w:spacing w:line="360" w:lineRule="auto"/>
            </w:pPr>
          </w:p>
          <w:p w:rsidR="00936A9F" w:rsidRDefault="00936A9F" w:rsidP="00686D79">
            <w:pPr>
              <w:spacing w:line="360" w:lineRule="auto"/>
            </w:pPr>
            <w:r>
              <w:t>Selbstbehalte für Patienten</w:t>
            </w:r>
          </w:p>
        </w:tc>
      </w:tr>
      <w:tr w:rsidR="00936A9F" w:rsidTr="008D7F4B">
        <w:tc>
          <w:tcPr>
            <w:tcW w:w="1754" w:type="dxa"/>
          </w:tcPr>
          <w:p w:rsidR="00686D79" w:rsidRPr="00A86AC5" w:rsidRDefault="006938AA" w:rsidP="00686D79">
            <w:pPr>
              <w:spacing w:line="360" w:lineRule="auto"/>
              <w:rPr>
                <w:b/>
              </w:rPr>
            </w:pPr>
            <w:r w:rsidRPr="00A86AC5">
              <w:rPr>
                <w:b/>
              </w:rPr>
              <w:t>Arzneimittel</w:t>
            </w:r>
          </w:p>
        </w:tc>
        <w:tc>
          <w:tcPr>
            <w:tcW w:w="2744" w:type="dxa"/>
          </w:tcPr>
          <w:p w:rsidR="00686D79" w:rsidRDefault="006938AA" w:rsidP="00686D79">
            <w:pPr>
              <w:spacing w:line="360" w:lineRule="auto"/>
            </w:pPr>
            <w:r>
              <w:t>Unmittelbar Ersta</w:t>
            </w:r>
            <w:r>
              <w:t>t</w:t>
            </w:r>
            <w:r>
              <w:t>tung, danach Nutze</w:t>
            </w:r>
            <w:r>
              <w:t>n</w:t>
            </w:r>
            <w:r>
              <w:t>bewertungsverfahren</w:t>
            </w:r>
            <w:r w:rsidR="00332D5B">
              <w:t xml:space="preserve"> und Preisverhandlu</w:t>
            </w:r>
            <w:r w:rsidR="00332D5B">
              <w:t>n</w:t>
            </w:r>
            <w:r w:rsidR="00332D5B">
              <w:t>gen</w:t>
            </w:r>
          </w:p>
          <w:p w:rsidR="006938AA" w:rsidRDefault="006938AA" w:rsidP="00686D79">
            <w:pPr>
              <w:spacing w:line="360" w:lineRule="auto"/>
            </w:pPr>
            <w:r>
              <w:t>Zuzahlungen, evtl. Aufzahlungen bei Festbeträgen</w:t>
            </w:r>
          </w:p>
        </w:tc>
        <w:tc>
          <w:tcPr>
            <w:tcW w:w="2571" w:type="dxa"/>
          </w:tcPr>
          <w:p w:rsidR="00686D79" w:rsidRDefault="00332D5B" w:rsidP="00686D79">
            <w:pPr>
              <w:spacing w:line="360" w:lineRule="auto"/>
            </w:pPr>
            <w:r>
              <w:t>„Vierte Hürde“, Bewertung durch Kommission und Sozialversicherung</w:t>
            </w:r>
            <w:r>
              <w:t>s</w:t>
            </w:r>
            <w:r>
              <w:t xml:space="preserve">träger; </w:t>
            </w:r>
          </w:p>
          <w:p w:rsidR="00332D5B" w:rsidRDefault="00332D5B" w:rsidP="00686D79">
            <w:pPr>
              <w:spacing w:line="360" w:lineRule="auto"/>
            </w:pPr>
            <w:r>
              <w:t>Preis: höchstens EU-Durchschnitt</w:t>
            </w:r>
          </w:p>
        </w:tc>
        <w:tc>
          <w:tcPr>
            <w:tcW w:w="2219" w:type="dxa"/>
          </w:tcPr>
          <w:p w:rsidR="00686D79" w:rsidRDefault="006938AA" w:rsidP="00686D79">
            <w:pPr>
              <w:spacing w:line="360" w:lineRule="auto"/>
            </w:pPr>
            <w:r>
              <w:t>„Vierte Hürde“: Arzneimittel muss vor der Erstattung auf seinen Zusatznutzen überprüft werden</w:t>
            </w:r>
          </w:p>
        </w:tc>
      </w:tr>
      <w:tr w:rsidR="00936A9F" w:rsidTr="008D7F4B">
        <w:tc>
          <w:tcPr>
            <w:tcW w:w="1754" w:type="dxa"/>
          </w:tcPr>
          <w:p w:rsidR="00686D79" w:rsidRPr="00A86AC5" w:rsidRDefault="00332D5B" w:rsidP="00686D79">
            <w:pPr>
              <w:spacing w:line="360" w:lineRule="auto"/>
              <w:rPr>
                <w:b/>
              </w:rPr>
            </w:pPr>
            <w:r w:rsidRPr="00A86AC5">
              <w:rPr>
                <w:b/>
              </w:rPr>
              <w:t>Zahnbehan</w:t>
            </w:r>
            <w:r w:rsidRPr="00A86AC5">
              <w:rPr>
                <w:b/>
              </w:rPr>
              <w:t>d</w:t>
            </w:r>
            <w:r w:rsidRPr="00A86AC5">
              <w:rPr>
                <w:b/>
              </w:rPr>
              <w:lastRenderedPageBreak/>
              <w:t>lung</w:t>
            </w:r>
          </w:p>
        </w:tc>
        <w:tc>
          <w:tcPr>
            <w:tcW w:w="2744" w:type="dxa"/>
          </w:tcPr>
          <w:p w:rsidR="00686D79" w:rsidRDefault="00332D5B" w:rsidP="00686D79">
            <w:pPr>
              <w:spacing w:line="360" w:lineRule="auto"/>
            </w:pPr>
            <w:r>
              <w:lastRenderedPageBreak/>
              <w:t xml:space="preserve">Zahnbehandlung (z.B. </w:t>
            </w:r>
            <w:r>
              <w:lastRenderedPageBreak/>
              <w:t>Kariesbehandlung) volle Übernahme</w:t>
            </w:r>
          </w:p>
          <w:p w:rsidR="00332D5B" w:rsidRDefault="00332D5B" w:rsidP="00686D79">
            <w:pPr>
              <w:spacing w:line="360" w:lineRule="auto"/>
            </w:pPr>
            <w:r>
              <w:t>Zahnersatz: 50 bzw. demnächst 60 Prozent</w:t>
            </w:r>
            <w:r w:rsidR="00A64E59">
              <w:t xml:space="preserve"> werden übernommen</w:t>
            </w:r>
          </w:p>
          <w:p w:rsidR="00332D5B" w:rsidRDefault="00A64E59" w:rsidP="00686D79">
            <w:pPr>
              <w:spacing w:line="360" w:lineRule="auto"/>
            </w:pPr>
            <w:r>
              <w:t>Bei k</w:t>
            </w:r>
            <w:r w:rsidR="00332D5B">
              <w:t>ieferorthopäd</w:t>
            </w:r>
            <w:r w:rsidR="00332D5B">
              <w:t>i</w:t>
            </w:r>
            <w:r w:rsidR="00332D5B">
              <w:t xml:space="preserve">sche Leistungen </w:t>
            </w:r>
            <w:r>
              <w:t xml:space="preserve">werden in Zukunft </w:t>
            </w:r>
            <w:r w:rsidR="00332D5B">
              <w:t>differenziert</w:t>
            </w:r>
            <w:r>
              <w:t>e Ersta</w:t>
            </w:r>
            <w:r>
              <w:t>t</w:t>
            </w:r>
            <w:r>
              <w:t>tungsregelungen entwickelt werden</w:t>
            </w:r>
          </w:p>
        </w:tc>
        <w:tc>
          <w:tcPr>
            <w:tcW w:w="2571" w:type="dxa"/>
          </w:tcPr>
          <w:p w:rsidR="00686D79" w:rsidRDefault="008D7F4B" w:rsidP="00686D79">
            <w:pPr>
              <w:spacing w:line="360" w:lineRule="auto"/>
            </w:pPr>
            <w:r>
              <w:lastRenderedPageBreak/>
              <w:t>Medizinisch notwe</w:t>
            </w:r>
            <w:r>
              <w:t>n</w:t>
            </w:r>
            <w:r>
              <w:lastRenderedPageBreak/>
              <w:t>dige Kosten werden auch bei Zahnersatz bei Vertragsärzten übernommen, bei Wahlärzten zum Teil. Manche Krankenka</w:t>
            </w:r>
            <w:r>
              <w:t>s</w:t>
            </w:r>
            <w:r>
              <w:t>sen verlangen einen Selbstbehalt.</w:t>
            </w:r>
          </w:p>
        </w:tc>
        <w:tc>
          <w:tcPr>
            <w:tcW w:w="2219" w:type="dxa"/>
          </w:tcPr>
          <w:p w:rsidR="00686D79" w:rsidRDefault="00935971" w:rsidP="00686D79">
            <w:pPr>
              <w:spacing w:line="360" w:lineRule="auto"/>
            </w:pPr>
            <w:r>
              <w:lastRenderedPageBreak/>
              <w:t xml:space="preserve">Notwendige </w:t>
            </w:r>
            <w:r>
              <w:lastRenderedPageBreak/>
              <w:t>Eingriffe (z.B. Zahnziehen) sind gedeckt, anson</w:t>
            </w:r>
            <w:r>
              <w:t>s</w:t>
            </w:r>
            <w:r>
              <w:t>ten müssen die Zahnbehandlu</w:t>
            </w:r>
            <w:r>
              <w:t>n</w:t>
            </w:r>
            <w:r>
              <w:t xml:space="preserve">gen (Füllungen, Zahnersatz etc.) selbst getragen werden. </w:t>
            </w:r>
            <w:r w:rsidR="008D7F4B">
              <w:t>Es gibt private Zusatzve</w:t>
            </w:r>
            <w:r w:rsidR="008D7F4B">
              <w:t>r</w:t>
            </w:r>
            <w:r w:rsidR="008D7F4B">
              <w:t>sicherungen, die aber verhältni</w:t>
            </w:r>
            <w:r w:rsidR="008D7F4B">
              <w:t>s</w:t>
            </w:r>
            <w:r w:rsidR="008D7F4B">
              <w:t>mäßig teuer sind.</w:t>
            </w:r>
          </w:p>
        </w:tc>
      </w:tr>
      <w:tr w:rsidR="00936A9F" w:rsidTr="008D7F4B">
        <w:tc>
          <w:tcPr>
            <w:tcW w:w="1754" w:type="dxa"/>
          </w:tcPr>
          <w:p w:rsidR="00686D79" w:rsidRPr="008D7F4B" w:rsidRDefault="00A86AC5" w:rsidP="00686D79">
            <w:pPr>
              <w:spacing w:line="360" w:lineRule="auto"/>
              <w:rPr>
                <w:b/>
              </w:rPr>
            </w:pPr>
            <w:r w:rsidRPr="008D7F4B">
              <w:rPr>
                <w:b/>
              </w:rPr>
              <w:lastRenderedPageBreak/>
              <w:t>Hilfsmittel</w:t>
            </w:r>
          </w:p>
        </w:tc>
        <w:tc>
          <w:tcPr>
            <w:tcW w:w="2744" w:type="dxa"/>
          </w:tcPr>
          <w:p w:rsidR="00686D79" w:rsidRDefault="00A86AC5" w:rsidP="00686D79">
            <w:pPr>
              <w:spacing w:line="360" w:lineRule="auto"/>
            </w:pPr>
            <w:r>
              <w:t>An sich Sachleistung</w:t>
            </w:r>
            <w:r>
              <w:t>s</w:t>
            </w:r>
            <w:r>
              <w:t>prinzip (alles mediz</w:t>
            </w:r>
            <w:r>
              <w:t>i</w:t>
            </w:r>
            <w:r w:rsidR="000713D4">
              <w:t>nisch Notwendige und W</w:t>
            </w:r>
            <w:r>
              <w:t>irtschaftliche wird erstattet), aber in der Praxis oft erhebliche Probleme mit der Umsetzung</w:t>
            </w:r>
            <w:r w:rsidR="000713D4">
              <w:t xml:space="preserve">. </w:t>
            </w:r>
            <w:r w:rsidR="00935971">
              <w:t>Es gibt ein sog. Hilfsmittelve</w:t>
            </w:r>
            <w:r w:rsidR="00935971">
              <w:t>r</w:t>
            </w:r>
            <w:r w:rsidR="00935971">
              <w:t>zeichnis, dieses ist jedoch nicht abschli</w:t>
            </w:r>
            <w:r w:rsidR="00935971">
              <w:t>e</w:t>
            </w:r>
            <w:r w:rsidR="00935971">
              <w:t>ßend. Insgesamt 20 Anspruchsgrundlagen für die Bewilligung von Hilfsmitteln, insoweit oft unklar, wer zuständig ist.</w:t>
            </w:r>
          </w:p>
          <w:p w:rsidR="00A86AC5" w:rsidRDefault="00A86AC5" w:rsidP="00686D79">
            <w:pPr>
              <w:spacing w:line="360" w:lineRule="auto"/>
            </w:pPr>
            <w:r>
              <w:lastRenderedPageBreak/>
              <w:t>Keine Erstattung bei Brillen abgesehen von Ausnahmeregelung bei hohen Dioptrinzahlen</w:t>
            </w:r>
          </w:p>
          <w:p w:rsidR="000713D4" w:rsidRDefault="000713D4" w:rsidP="00686D79">
            <w:pPr>
              <w:spacing w:line="360" w:lineRule="auto"/>
            </w:pPr>
            <w:r>
              <w:t>Grundsätzlich Veror</w:t>
            </w:r>
            <w:r>
              <w:t>d</w:t>
            </w:r>
            <w:r>
              <w:t>nung des Arztes notwendig</w:t>
            </w:r>
          </w:p>
          <w:p w:rsidR="000713D4" w:rsidRDefault="000713D4" w:rsidP="00686D79">
            <w:pPr>
              <w:spacing w:line="360" w:lineRule="auto"/>
            </w:pPr>
            <w:r>
              <w:t>Zuzahlungen von 5-10 €</w:t>
            </w:r>
          </w:p>
        </w:tc>
        <w:tc>
          <w:tcPr>
            <w:tcW w:w="2571" w:type="dxa"/>
          </w:tcPr>
          <w:p w:rsidR="00686D79" w:rsidRDefault="000713D4" w:rsidP="00686D79">
            <w:pPr>
              <w:spacing w:line="360" w:lineRule="auto"/>
            </w:pPr>
            <w:r>
              <w:lastRenderedPageBreak/>
              <w:t>Übernahme der Kosten, wenn das Hilfsmittel/ Heilb</w:t>
            </w:r>
            <w:r>
              <w:t>e</w:t>
            </w:r>
            <w:r>
              <w:t>helf über 33,20 € kostet; Betrag von 33,20 € ist als Selbstbehalt zu bezahlen</w:t>
            </w:r>
          </w:p>
          <w:p w:rsidR="000713D4" w:rsidRDefault="000713D4" w:rsidP="00686D79">
            <w:pPr>
              <w:spacing w:line="360" w:lineRule="auto"/>
            </w:pPr>
            <w:r>
              <w:t>Es wird nur ein Höchstbetrag von 498-1.328 € (je nach Satzung) überno</w:t>
            </w:r>
            <w:r>
              <w:t>m</w:t>
            </w:r>
            <w:r>
              <w:t>men, es sei denn, es handelt sich um eine Leistung der mediz</w:t>
            </w:r>
            <w:r>
              <w:t>i</w:t>
            </w:r>
            <w:r>
              <w:t>nischen Rehabilitat</w:t>
            </w:r>
            <w:r>
              <w:t>i</w:t>
            </w:r>
            <w:r>
              <w:t>on.</w:t>
            </w:r>
          </w:p>
          <w:p w:rsidR="000713D4" w:rsidRDefault="000713D4" w:rsidP="00686D79">
            <w:pPr>
              <w:spacing w:line="360" w:lineRule="auto"/>
            </w:pPr>
            <w:r>
              <w:lastRenderedPageBreak/>
              <w:t>Kostenübernahme Brillen nur, wenn diese teurer als 166 € sind, dann Selbstb</w:t>
            </w:r>
            <w:r>
              <w:t>e</w:t>
            </w:r>
            <w:r>
              <w:t>halt von mindestens 99, 60 €</w:t>
            </w:r>
          </w:p>
          <w:p w:rsidR="000713D4" w:rsidRDefault="000713D4" w:rsidP="00686D79">
            <w:pPr>
              <w:spacing w:line="360" w:lineRule="auto"/>
            </w:pPr>
            <w:r>
              <w:t>Verordnung des Arztes und häufig auch Bewilligung der Krankenkasse erforderlich</w:t>
            </w:r>
          </w:p>
        </w:tc>
        <w:tc>
          <w:tcPr>
            <w:tcW w:w="2219" w:type="dxa"/>
          </w:tcPr>
          <w:p w:rsidR="00686D79" w:rsidRDefault="00935971" w:rsidP="00686D79">
            <w:pPr>
              <w:spacing w:line="360" w:lineRule="auto"/>
            </w:pPr>
            <w:r>
              <w:lastRenderedPageBreak/>
              <w:t>Übernahme der Kosten durch die Krankenkasse, soweit sie in der Mittel- und Gegenständeliste enthalten sind.</w:t>
            </w:r>
          </w:p>
          <w:p w:rsidR="00935971" w:rsidRDefault="00935971" w:rsidP="00686D79">
            <w:pPr>
              <w:spacing w:line="360" w:lineRule="auto"/>
            </w:pPr>
            <w:r>
              <w:t>Evtl. auch Zustä</w:t>
            </w:r>
            <w:r>
              <w:t>n</w:t>
            </w:r>
            <w:r>
              <w:t>digkeit der Invalidenversich</w:t>
            </w:r>
            <w:r>
              <w:t>e</w:t>
            </w:r>
            <w:r>
              <w:t>rung</w:t>
            </w:r>
          </w:p>
        </w:tc>
      </w:tr>
    </w:tbl>
    <w:p w:rsidR="00686D79" w:rsidRDefault="00686D79" w:rsidP="00686D79">
      <w:pPr>
        <w:spacing w:line="360" w:lineRule="auto"/>
      </w:pPr>
    </w:p>
    <w:p w:rsidR="00686D79" w:rsidRDefault="00686D79" w:rsidP="00686D79">
      <w:pPr>
        <w:spacing w:line="360" w:lineRule="auto"/>
      </w:pPr>
    </w:p>
    <w:p w:rsidR="00484BDE" w:rsidRPr="00492C68" w:rsidRDefault="00484BDE" w:rsidP="00484BDE">
      <w:pPr>
        <w:pStyle w:val="Listenabsatz"/>
        <w:numPr>
          <w:ilvl w:val="0"/>
          <w:numId w:val="15"/>
        </w:numPr>
        <w:spacing w:line="360" w:lineRule="auto"/>
        <w:rPr>
          <w:b/>
        </w:rPr>
      </w:pPr>
      <w:r w:rsidRPr="00492C68">
        <w:rPr>
          <w:b/>
        </w:rPr>
        <w:t>Wie ist die Situation der Selbsthilfe in den verschiedenen Ländern?</w:t>
      </w:r>
    </w:p>
    <w:p w:rsidR="00484BDE" w:rsidRDefault="00484BDE" w:rsidP="00484BDE">
      <w:pPr>
        <w:spacing w:line="360" w:lineRule="auto"/>
      </w:pPr>
    </w:p>
    <w:p w:rsidR="00484BDE" w:rsidRPr="00486605" w:rsidRDefault="00484BDE" w:rsidP="00484BDE">
      <w:pPr>
        <w:pStyle w:val="Listenabsatz"/>
        <w:numPr>
          <w:ilvl w:val="0"/>
          <w:numId w:val="19"/>
        </w:numPr>
        <w:spacing w:line="360" w:lineRule="auto"/>
        <w:rPr>
          <w:b/>
        </w:rPr>
      </w:pPr>
      <w:r w:rsidRPr="00486605">
        <w:rPr>
          <w:b/>
        </w:rPr>
        <w:t xml:space="preserve">Situation der Selbsthilfe in </w:t>
      </w:r>
      <w:r w:rsidR="00486605">
        <w:rPr>
          <w:b/>
        </w:rPr>
        <w:t xml:space="preserve">der Bundesrepublik </w:t>
      </w:r>
      <w:r w:rsidRPr="00486605">
        <w:rPr>
          <w:b/>
        </w:rPr>
        <w:t>Deutschland</w:t>
      </w:r>
    </w:p>
    <w:p w:rsidR="00486605" w:rsidRDefault="00486605" w:rsidP="00486605">
      <w:pPr>
        <w:pStyle w:val="Listenabsatz"/>
        <w:spacing w:line="360" w:lineRule="auto"/>
      </w:pPr>
    </w:p>
    <w:p w:rsidR="00484BDE" w:rsidRDefault="00486605" w:rsidP="00484BDE">
      <w:pPr>
        <w:spacing w:line="360" w:lineRule="auto"/>
      </w:pPr>
      <w:r>
        <w:t>In Deutschland sind sowohl verbandlich organisierte Selbsthilfestrukturen als auch Selbsthilfeunterstütz</w:t>
      </w:r>
      <w:r w:rsidR="00600F96">
        <w:t>ungsstrukturen vorhanden; letztere unterstützen</w:t>
      </w:r>
      <w:r>
        <w:t xml:space="preserve"> die sog. „freien“ nichtverband</w:t>
      </w:r>
      <w:r w:rsidR="00600F96">
        <w:t>lich organisierten Selbsthilfegruppen</w:t>
      </w:r>
      <w:r>
        <w:t>.</w:t>
      </w:r>
      <w:r w:rsidR="00600F96">
        <w:t xml:space="preserve"> Verbandlich organisie</w:t>
      </w:r>
      <w:r w:rsidR="00600F96">
        <w:t>r</w:t>
      </w:r>
      <w:r w:rsidR="00600F96">
        <w:t xml:space="preserve">te Selbsthilfe ist typischerweise durch ein Nebeneinander zwischen ehrenamtlich tätigem Vorstand und wenigen hauptamtlichen Mitarbeitern (typischerweise bei mittleren Verbänden ein Geschäftsführer*in und eine halbe </w:t>
      </w:r>
      <w:r w:rsidR="0002308A">
        <w:t>Sachbearbeiter</w:t>
      </w:r>
      <w:r w:rsidR="00600F96">
        <w:t>*in) geprägt; kleinere Verbände können häufig kein hauptamtliches Personal finanzi</w:t>
      </w:r>
      <w:r w:rsidR="00600F96">
        <w:t>e</w:t>
      </w:r>
      <w:r w:rsidR="00600F96">
        <w:t>ren.</w:t>
      </w:r>
    </w:p>
    <w:p w:rsidR="00600F96" w:rsidRPr="00600F96" w:rsidRDefault="00600F96" w:rsidP="00484BDE">
      <w:pPr>
        <w:spacing w:line="360" w:lineRule="auto"/>
      </w:pPr>
      <w:r>
        <w:t>Die Selbsthilfeunterstützung in den Selbsthilfekontaktstellen wird durch hauptam</w:t>
      </w:r>
      <w:r>
        <w:t>t</w:t>
      </w:r>
      <w:r>
        <w:t>liches Personal geleistet.</w:t>
      </w:r>
    </w:p>
    <w:p w:rsidR="00384D43" w:rsidRPr="00384D43" w:rsidRDefault="00384D43" w:rsidP="00384D43">
      <w:pPr>
        <w:spacing w:before="100" w:beforeAutospacing="1" w:after="100" w:afterAutospacing="1" w:line="360" w:lineRule="auto"/>
      </w:pPr>
      <w:r w:rsidRPr="00384D43">
        <w:t>In Deutschland gibt es etwa 100.000 Selbsthilfegruppen zu nahezu jeder Erkrankung und Behinderung, in denen sich rund 3,5 Millionen Menschen zusammen</w:t>
      </w:r>
      <w:r w:rsidR="00A64E59">
        <w:t>geschlossen haben</w:t>
      </w:r>
      <w:r w:rsidRPr="00384D43">
        <w:t xml:space="preserve">. Die Selbsthilfe-Landschaft in Deutschland ist sehr breit aufgestellt: Von </w:t>
      </w:r>
      <w:r w:rsidRPr="00384D43">
        <w:lastRenderedPageBreak/>
        <w:t>Selbsthilfegruppen auf regionaler Ebene und übergreifenden Landesarbeitsgemei</w:t>
      </w:r>
      <w:r w:rsidRPr="00384D43">
        <w:t>n</w:t>
      </w:r>
      <w:r w:rsidRPr="00384D43">
        <w:t>schaften, über indikationsspezifische (auf bestimmte Krankheitsbilder spezialisie</w:t>
      </w:r>
      <w:r w:rsidRPr="00384D43">
        <w:t>r</w:t>
      </w:r>
      <w:r w:rsidRPr="00384D43">
        <w:t>te) Bundesverbände bis hin zur Dachorganisation der Bundesverbände, der BAG SELBSTHILFE. Diese vertritt über ihre Bundesverbän</w:t>
      </w:r>
      <w:r>
        <w:t>de rund 1 Million</w:t>
      </w:r>
      <w:r w:rsidRPr="00384D43">
        <w:t xml:space="preserve"> Menschen mit chronischen</w:t>
      </w:r>
      <w:r w:rsidR="00A64E59">
        <w:t xml:space="preserve"> Erkrankungen und Behinderungen und ist damit der größte Bundesve</w:t>
      </w:r>
      <w:r w:rsidR="00A64E59">
        <w:t>r</w:t>
      </w:r>
      <w:r w:rsidR="00A64E59">
        <w:t>band der Selbsthilfe.</w:t>
      </w:r>
    </w:p>
    <w:p w:rsidR="004F24F3" w:rsidRPr="004F24F3" w:rsidRDefault="004F24F3" w:rsidP="00F76319">
      <w:pPr>
        <w:spacing w:before="100" w:beforeAutospacing="1" w:after="100" w:afterAutospacing="1" w:line="360" w:lineRule="auto"/>
      </w:pPr>
      <w:r w:rsidRPr="00F76319">
        <w:t>B</w:t>
      </w:r>
      <w:r w:rsidRPr="004F24F3">
        <w:t>ereits seit dem Jahr 1992 gibt es eine gesetzliche Grundlage für die Selbsthi</w:t>
      </w:r>
      <w:r w:rsidRPr="004F24F3">
        <w:t>l</w:t>
      </w:r>
      <w:r w:rsidRPr="004F24F3">
        <w:t>feförderung durch die gesetzlichen Krankenkassen. Seit dem 01. 01. 2008 sind die Krankenkassen durch die Schaffung des § 20c SGB V zur Förderung der Selbsthilfe verpflichtet.</w:t>
      </w:r>
      <w:r w:rsidR="00F76319" w:rsidRPr="00F76319">
        <w:t xml:space="preserve"> </w:t>
      </w:r>
    </w:p>
    <w:p w:rsidR="004F24F3" w:rsidRPr="00F76319" w:rsidRDefault="004F24F3" w:rsidP="00F76319">
      <w:pPr>
        <w:spacing w:before="100" w:beforeAutospacing="1" w:after="100" w:afterAutospacing="1" w:line="360" w:lineRule="auto"/>
      </w:pPr>
      <w:r w:rsidRPr="004F24F3">
        <w:t>Mit dem Gesetz zur Stärkung der Gesundheits</w:t>
      </w:r>
      <w:r w:rsidR="003C5C91">
        <w:t>förderung und der Prävention (</w:t>
      </w:r>
      <w:r w:rsidRPr="004F24F3">
        <w:t>PrävG) vom 17.06.2015 wurde der bisherige §</w:t>
      </w:r>
      <w:r w:rsidR="003C5C91">
        <w:t xml:space="preserve"> </w:t>
      </w:r>
      <w:r w:rsidRPr="004F24F3">
        <w:t>20c in den §</w:t>
      </w:r>
      <w:r w:rsidR="003C5C91">
        <w:t xml:space="preserve"> </w:t>
      </w:r>
      <w:r w:rsidRPr="004F24F3">
        <w:t>20h umgewandelt. Mit dem PrävG wurde die Selbsthilfeförderung von vormals 63 Cent auf 1,05 € (2017: 1,08 €) pro Versicherten im Förderjahr erhöht.</w:t>
      </w:r>
      <w:r w:rsidR="00184FF7">
        <w:t xml:space="preserve"> Damit stehen der Selbsthilfe seit</w:t>
      </w:r>
      <w:r w:rsidRPr="004F24F3">
        <w:t xml:space="preserve"> dem Jahr 2016 ca. 27 Mio. Euro mehr zur Verfügung als bisher.</w:t>
      </w:r>
    </w:p>
    <w:p w:rsidR="00F76319" w:rsidRPr="00F76319" w:rsidRDefault="00F76319" w:rsidP="00F76319">
      <w:pPr>
        <w:pStyle w:val="StandardWeb"/>
        <w:spacing w:line="360" w:lineRule="auto"/>
        <w:rPr>
          <w:rFonts w:ascii="Trebuchet MS" w:hAnsi="Trebuchet MS"/>
        </w:rPr>
      </w:pPr>
      <w:r w:rsidRPr="00F76319">
        <w:rPr>
          <w:rFonts w:ascii="Trebuchet MS" w:hAnsi="Trebuchet MS"/>
        </w:rPr>
        <w:t>Bei der Beantragung von Mitteln aus der Selbsthilfeförderung der Krankenkassen nach § 20h SGB V ist zu unterscheiden, für welche Förderebene ein Antrag gestellt werden soll und für welche Förderart (kassenartenübergreifende Gemeinschaftsfö</w:t>
      </w:r>
      <w:r w:rsidRPr="00F76319">
        <w:rPr>
          <w:rFonts w:ascii="Trebuchet MS" w:hAnsi="Trebuchet MS"/>
        </w:rPr>
        <w:t>r</w:t>
      </w:r>
      <w:r w:rsidRPr="00F76319">
        <w:rPr>
          <w:rFonts w:ascii="Trebuchet MS" w:hAnsi="Trebuchet MS"/>
        </w:rPr>
        <w:t>derung oder krankenkassenindividuelle Projektförderung) der Antrag gestellt werden soll.</w:t>
      </w:r>
    </w:p>
    <w:p w:rsidR="00F76319" w:rsidRPr="00F76319" w:rsidRDefault="00F76319" w:rsidP="00F76319">
      <w:pPr>
        <w:pStyle w:val="berschrift3"/>
        <w:spacing w:line="360" w:lineRule="auto"/>
        <w:rPr>
          <w:sz w:val="24"/>
        </w:rPr>
      </w:pPr>
      <w:r w:rsidRPr="00F76319">
        <w:rPr>
          <w:sz w:val="24"/>
        </w:rPr>
        <w:t>Förderebenen</w:t>
      </w:r>
    </w:p>
    <w:p w:rsidR="00F76319" w:rsidRPr="00F76319" w:rsidRDefault="00F76319" w:rsidP="00F76319">
      <w:pPr>
        <w:numPr>
          <w:ilvl w:val="0"/>
          <w:numId w:val="21"/>
        </w:numPr>
        <w:spacing w:before="100" w:beforeAutospacing="1" w:after="100" w:afterAutospacing="1" w:line="360" w:lineRule="auto"/>
      </w:pPr>
      <w:r w:rsidRPr="00F76319">
        <w:t>Bundesorganisationen der Selbsthilfe stellen Förderanträge auf der Bunde</w:t>
      </w:r>
      <w:r w:rsidRPr="00F76319">
        <w:t>s</w:t>
      </w:r>
      <w:r w:rsidRPr="00F76319">
        <w:t>ebene.</w:t>
      </w:r>
    </w:p>
    <w:p w:rsidR="00F76319" w:rsidRPr="00F76319" w:rsidRDefault="00F76319" w:rsidP="00F76319">
      <w:pPr>
        <w:numPr>
          <w:ilvl w:val="0"/>
          <w:numId w:val="21"/>
        </w:numPr>
        <w:spacing w:before="100" w:beforeAutospacing="1" w:after="100" w:afterAutospacing="1" w:line="360" w:lineRule="auto"/>
      </w:pPr>
      <w:r w:rsidRPr="00F76319">
        <w:t>Landesorganisationen der Selbsthilfe stellen Förderanträge auf der Lande</w:t>
      </w:r>
      <w:r w:rsidRPr="00F76319">
        <w:t>s</w:t>
      </w:r>
      <w:r w:rsidRPr="00F76319">
        <w:t>ebene.</w:t>
      </w:r>
    </w:p>
    <w:p w:rsidR="00F76319" w:rsidRPr="00F76319" w:rsidRDefault="00F76319" w:rsidP="00F76319">
      <w:pPr>
        <w:numPr>
          <w:ilvl w:val="0"/>
          <w:numId w:val="21"/>
        </w:numPr>
        <w:spacing w:before="100" w:beforeAutospacing="1" w:after="100" w:afterAutospacing="1" w:line="360" w:lineRule="auto"/>
      </w:pPr>
      <w:r w:rsidRPr="00F76319">
        <w:t>Örtliche Selbsthilfegruppen stellen Förderanträge auf der örtlichen Ebene.</w:t>
      </w:r>
    </w:p>
    <w:p w:rsidR="00F76319" w:rsidRPr="00F76319" w:rsidRDefault="00F76319" w:rsidP="00F76319">
      <w:pPr>
        <w:pStyle w:val="berschrift3"/>
        <w:spacing w:line="360" w:lineRule="auto"/>
        <w:rPr>
          <w:sz w:val="24"/>
        </w:rPr>
      </w:pPr>
      <w:r w:rsidRPr="00F76319">
        <w:rPr>
          <w:sz w:val="24"/>
        </w:rPr>
        <w:lastRenderedPageBreak/>
        <w:t>Förderarten</w:t>
      </w:r>
    </w:p>
    <w:p w:rsidR="00F76319" w:rsidRPr="00F76319" w:rsidRDefault="00F76319" w:rsidP="00F76319">
      <w:pPr>
        <w:pStyle w:val="StandardWeb"/>
        <w:spacing w:line="360" w:lineRule="auto"/>
        <w:rPr>
          <w:rFonts w:ascii="Trebuchet MS" w:hAnsi="Trebuchet MS"/>
        </w:rPr>
      </w:pPr>
      <w:r w:rsidRPr="00F76319">
        <w:rPr>
          <w:rFonts w:ascii="Trebuchet MS" w:hAnsi="Trebuchet MS"/>
        </w:rPr>
        <w:t>Auf den verschiedenen Ebenen wiederum können Anträge auf eine pauschale Förderung der jeweiligen Selbsthilfestruktur über die kassenartenübergreifende Gemeinschaftsförderung gestellt werden. Es kann aber auch die Förderung konkr</w:t>
      </w:r>
      <w:r w:rsidRPr="00F76319">
        <w:rPr>
          <w:rFonts w:ascii="Trebuchet MS" w:hAnsi="Trebuchet MS"/>
        </w:rPr>
        <w:t>e</w:t>
      </w:r>
      <w:r w:rsidRPr="00F76319">
        <w:rPr>
          <w:rFonts w:ascii="Trebuchet MS" w:hAnsi="Trebuchet MS"/>
        </w:rPr>
        <w:t>ter Projekte über die krankenkassenindividuelle Förderung gestellt werden:</w:t>
      </w:r>
    </w:p>
    <w:p w:rsidR="00F76319" w:rsidRPr="00F76319" w:rsidRDefault="00F76319" w:rsidP="00F76319">
      <w:pPr>
        <w:pStyle w:val="StandardWeb"/>
        <w:spacing w:line="360" w:lineRule="auto"/>
        <w:rPr>
          <w:rFonts w:ascii="Trebuchet MS" w:hAnsi="Trebuchet MS"/>
        </w:rPr>
      </w:pPr>
      <w:r w:rsidRPr="00F76319">
        <w:rPr>
          <w:rFonts w:ascii="Trebuchet MS" w:hAnsi="Trebuchet MS"/>
        </w:rPr>
        <w:t xml:space="preserve">Bei der </w:t>
      </w:r>
      <w:r w:rsidRPr="00F76319">
        <w:rPr>
          <w:rFonts w:ascii="Trebuchet MS" w:hAnsi="Trebuchet MS"/>
          <w:b/>
        </w:rPr>
        <w:t>Pauschalförderung</w:t>
      </w:r>
      <w:r w:rsidRPr="00F76319">
        <w:rPr>
          <w:rFonts w:ascii="Trebuchet MS" w:hAnsi="Trebuchet MS"/>
        </w:rPr>
        <w:t xml:space="preserve"> werden die Selbsthilfestrukturen im Sinne einer Basisf</w:t>
      </w:r>
      <w:r w:rsidRPr="00F76319">
        <w:rPr>
          <w:rFonts w:ascii="Trebuchet MS" w:hAnsi="Trebuchet MS"/>
        </w:rPr>
        <w:t>i</w:t>
      </w:r>
      <w:r w:rsidRPr="00F76319">
        <w:rPr>
          <w:rFonts w:ascii="Trebuchet MS" w:hAnsi="Trebuchet MS"/>
        </w:rPr>
        <w:t>nanzierung – vorrangig als Festbetrag – bezuschusst. Diese Fördermittel dienen der Unterstützung der Selbsthilfearbeit und der Abdeckung der damit einhergehenden regelmäßig wiederkehrenden Aufwendungen. Dabei ist eine Vollfinanzierung von Selbsthilfestrukturen allerdings ausgeschlossen. Die Förderung wird als Teilfinanzi</w:t>
      </w:r>
      <w:r w:rsidRPr="00F76319">
        <w:rPr>
          <w:rFonts w:ascii="Trebuchet MS" w:hAnsi="Trebuchet MS"/>
        </w:rPr>
        <w:t>e</w:t>
      </w:r>
      <w:r w:rsidRPr="00F76319">
        <w:rPr>
          <w:rFonts w:ascii="Trebuchet MS" w:hAnsi="Trebuchet MS"/>
        </w:rPr>
        <w:t>rung gewährt. Beispiele hierfür sind vor allem regelmäßig anfallende Kosten wie Raumkosten und Miete, Büroausstattung, Mitgliederzeitschriften, laufende Aufwe</w:t>
      </w:r>
      <w:r w:rsidRPr="00F76319">
        <w:rPr>
          <w:rFonts w:ascii="Trebuchet MS" w:hAnsi="Trebuchet MS"/>
        </w:rPr>
        <w:t>n</w:t>
      </w:r>
      <w:r w:rsidRPr="00F76319">
        <w:rPr>
          <w:rFonts w:ascii="Trebuchet MS" w:hAnsi="Trebuchet MS"/>
        </w:rPr>
        <w:t>dungen für den Betrieb der eigenen Internetseite oder auch Personalausgaben.</w:t>
      </w:r>
    </w:p>
    <w:p w:rsidR="00F76319" w:rsidRPr="00F76319" w:rsidRDefault="00F76319" w:rsidP="00F76319">
      <w:pPr>
        <w:pStyle w:val="StandardWeb"/>
        <w:spacing w:line="360" w:lineRule="auto"/>
        <w:rPr>
          <w:rFonts w:ascii="Trebuchet MS" w:hAnsi="Trebuchet MS"/>
        </w:rPr>
      </w:pPr>
      <w:r w:rsidRPr="00F76319">
        <w:rPr>
          <w:rFonts w:ascii="Trebuchet MS" w:hAnsi="Trebuchet MS"/>
        </w:rPr>
        <w:t>Im Rahmen der kassenartenübergreifenden Gemeinschaftsförderung fördern die Krankenkassen bzw. Krankenkassenverbände auf Bundes-, Landes- und Ortsebene die Selbsthilfe gemeinschaftlich über einen Gemeinschaftsfonds. An den Beratu</w:t>
      </w:r>
      <w:r w:rsidRPr="00F76319">
        <w:rPr>
          <w:rFonts w:ascii="Trebuchet MS" w:hAnsi="Trebuchet MS"/>
        </w:rPr>
        <w:t>n</w:t>
      </w:r>
      <w:r w:rsidRPr="00F76319">
        <w:rPr>
          <w:rFonts w:ascii="Trebuchet MS" w:hAnsi="Trebuchet MS"/>
        </w:rPr>
        <w:t>gen über die Mittelvergabe aus diesen Fonds sind auf allen Ebenen Vertreter der Selbsthilfe zu beteiligen. Zumindest auf Bundes- und auf Landesebene existieren hierzu gemeinsame Fördergremien der Krankenkassen und der Selbsthilfe.</w:t>
      </w:r>
      <w:r w:rsidRPr="00F76319">
        <w:rPr>
          <w:rFonts w:ascii="Trebuchet MS" w:hAnsi="Trebuchet MS"/>
        </w:rPr>
        <w:br/>
      </w:r>
      <w:r w:rsidRPr="00F76319">
        <w:rPr>
          <w:rFonts w:ascii="Trebuchet MS" w:hAnsi="Trebuchet MS"/>
        </w:rPr>
        <w:br/>
        <w:t xml:space="preserve">Neben der Pauschalförderung besteht zusätzlich auf allen Förderebenen (Bund, Land, Region) die </w:t>
      </w:r>
      <w:r w:rsidRPr="00F76319">
        <w:rPr>
          <w:rFonts w:ascii="Trebuchet MS" w:hAnsi="Trebuchet MS"/>
          <w:b/>
        </w:rPr>
        <w:t>Projektförderung</w:t>
      </w:r>
      <w:r w:rsidRPr="00F76319">
        <w:rPr>
          <w:rFonts w:ascii="Trebuchet MS" w:hAnsi="Trebuchet MS"/>
        </w:rPr>
        <w:t>. Die Förderung erfolgt hier in der Regel als Fehlbedarfs- oder Anteilsfinanzierung.</w:t>
      </w:r>
    </w:p>
    <w:p w:rsidR="00F76319" w:rsidRPr="00F76319" w:rsidRDefault="00F76319" w:rsidP="00F76319">
      <w:pPr>
        <w:spacing w:before="100" w:beforeAutospacing="1" w:after="100" w:afterAutospacing="1" w:line="360" w:lineRule="auto"/>
      </w:pPr>
      <w:r w:rsidRPr="00F76319">
        <w:t>Projekte im Sinne der Projektförderung sind zeitlich begrenzte und über die regelmäßige Selbsthilfearbeit hinausgehende Formate, beispielsweise die Durchfü</w:t>
      </w:r>
      <w:r w:rsidRPr="00F76319">
        <w:t>h</w:t>
      </w:r>
      <w:r w:rsidRPr="00F76319">
        <w:t>rung von Veranstaltungen (Tagungen, Workshops, Seminare, etc.), Konzept</w:t>
      </w:r>
      <w:r w:rsidRPr="00F76319">
        <w:t>i</w:t>
      </w:r>
      <w:r w:rsidRPr="00F76319">
        <w:t>on/Gestaltung/Druck von Flyern oder Broschüren, Kampagnen, Neu- oder Umg</w:t>
      </w:r>
      <w:r w:rsidRPr="00F76319">
        <w:t>e</w:t>
      </w:r>
      <w:r w:rsidRPr="00F76319">
        <w:t>staltungen von Internetseiten oder Qualifizierungsmaßnahmen.</w:t>
      </w:r>
    </w:p>
    <w:p w:rsidR="00F76319" w:rsidRPr="00F76319" w:rsidRDefault="003C5C91" w:rsidP="00F76319">
      <w:pPr>
        <w:spacing w:before="100" w:beforeAutospacing="1" w:after="100" w:afterAutospacing="1" w:line="360" w:lineRule="auto"/>
      </w:pPr>
      <w:r>
        <w:lastRenderedPageBreak/>
        <w:t>Ein</w:t>
      </w:r>
      <w:r w:rsidR="00F76319" w:rsidRPr="00F76319">
        <w:t xml:space="preserve"> Projekt darf nicht vor dem Erhalt Bewilligungsschreiben/Bewilligungsbescheid beginnen. Ein vorzeitiger Projektbeginn ist nur möglich, wenn eine vorherige Genehmigung beim Fördermittelgeber eingeholt wurde.</w:t>
      </w:r>
    </w:p>
    <w:p w:rsidR="00486605" w:rsidRDefault="00F76319" w:rsidP="00F76319">
      <w:pPr>
        <w:spacing w:before="100" w:beforeAutospacing="1" w:after="100" w:afterAutospacing="1" w:line="360" w:lineRule="auto"/>
      </w:pPr>
      <w:r w:rsidRPr="00F76319">
        <w:t>Die Krankenkassen definieren selbstständig (häufig pro Förderjahr) gewisse Förde</w:t>
      </w:r>
      <w:r w:rsidRPr="00F76319">
        <w:t>r</w:t>
      </w:r>
      <w:r w:rsidRPr="00F76319">
        <w:t>schwerpunkte.</w:t>
      </w:r>
    </w:p>
    <w:p w:rsidR="00484BDE" w:rsidRPr="00486605" w:rsidRDefault="00484BDE" w:rsidP="00484BDE">
      <w:pPr>
        <w:pStyle w:val="Listenabsatz"/>
        <w:numPr>
          <w:ilvl w:val="0"/>
          <w:numId w:val="19"/>
        </w:numPr>
        <w:spacing w:line="360" w:lineRule="auto"/>
        <w:rPr>
          <w:b/>
        </w:rPr>
      </w:pPr>
      <w:r w:rsidRPr="00486605">
        <w:rPr>
          <w:b/>
        </w:rPr>
        <w:t xml:space="preserve">Situation der Selbsthilfe in </w:t>
      </w:r>
      <w:r w:rsidR="00486605">
        <w:rPr>
          <w:b/>
        </w:rPr>
        <w:t xml:space="preserve">Republik </w:t>
      </w:r>
      <w:r w:rsidRPr="00486605">
        <w:rPr>
          <w:b/>
        </w:rPr>
        <w:t>Österreich</w:t>
      </w:r>
    </w:p>
    <w:p w:rsidR="00484BDE" w:rsidRDefault="00484BDE" w:rsidP="00484BDE">
      <w:pPr>
        <w:pStyle w:val="Listenabsatz"/>
      </w:pPr>
    </w:p>
    <w:p w:rsidR="00CD1E16" w:rsidRDefault="00540DB0" w:rsidP="00484BDE">
      <w:pPr>
        <w:spacing w:line="360" w:lineRule="auto"/>
      </w:pPr>
      <w:r>
        <w:t>Ähnlich wie in Deutschland gibt es in Österreich  sowohl themenbezogene Selbsthi</w:t>
      </w:r>
      <w:r>
        <w:t>l</w:t>
      </w:r>
      <w:r>
        <w:t>fegruppen und Selbsthilfeorganisationen als auch themenübergreifende Selbsthilf</w:t>
      </w:r>
      <w:r>
        <w:t>e</w:t>
      </w:r>
      <w:r>
        <w:t xml:space="preserve">unterstützungsstrukturen. </w:t>
      </w:r>
      <w:r w:rsidR="00CD1E16">
        <w:t xml:space="preserve">Allerdings sind hier Selbsthilfeunterstützungsstrukturen und Selbsthilfeorganisationen in anderer Weise verzahnt: In vielen Ländern haben sich themenübergreifende Dachverbände der Selbsthilfeorganisationen entwickelt, die gleichzeitig Träger der Selbsthilfeunterstützung sind. In diesen Ländern können Betroffene also auch die Aktivitäten der Selbsthilfeunterstützungsstrukturen bestimmen. In Ländern, in denen ein solcher Dachverband nicht gegründet wurde, haben sich Selbsthilfekontaktstellen etabliert, die </w:t>
      </w:r>
      <w:r w:rsidR="001C219B">
        <w:t>unmittelbar bei anderen Trägern angesiedelt werden; in ihnen haben Betroffene keine Mitsprache.</w:t>
      </w:r>
    </w:p>
    <w:p w:rsidR="001C219B" w:rsidRDefault="001C219B" w:rsidP="00484BDE">
      <w:pPr>
        <w:spacing w:line="360" w:lineRule="auto"/>
      </w:pPr>
    </w:p>
    <w:p w:rsidR="00484BDE" w:rsidRDefault="001C219B" w:rsidP="00484BDE">
      <w:pPr>
        <w:spacing w:line="360" w:lineRule="auto"/>
      </w:pPr>
      <w:r>
        <w:t>Die 2008 angekündigte Förderung der Selbsthilfe durch die Bundesregierung wurde lange nicht umgesetzt; auf Landesebene hat</w:t>
      </w:r>
      <w:r w:rsidR="006949CA">
        <w:t>te</w:t>
      </w:r>
      <w:r>
        <w:t xml:space="preserve"> sich eine Förderung von Selbsthilf</w:t>
      </w:r>
      <w:r>
        <w:t>e</w:t>
      </w:r>
      <w:r>
        <w:t>unterstützungseinrichtungen etabliert, bei Selbsthilfegruppen und Selbsthilfeorg</w:t>
      </w:r>
      <w:r>
        <w:t>a</w:t>
      </w:r>
      <w:r>
        <w:t>nisationen findet eine Förderung nur im Einzelfall statt. Insgesamt</w:t>
      </w:r>
      <w:r w:rsidR="00540DB0">
        <w:t xml:space="preserve"> hat sich die</w:t>
      </w:r>
      <w:r w:rsidR="00CD1E16">
        <w:t xml:space="preserve"> </w:t>
      </w:r>
      <w:r w:rsidR="00540DB0">
        <w:t>Förderung von Selbsthilfeorganisationen und – gruppen erst in den letzten Jahren entwickelt und bleibt deutlich hinter der Förderpraxis in Deutschland zurück.</w:t>
      </w:r>
    </w:p>
    <w:p w:rsidR="00CD1E16" w:rsidRDefault="00CD1E16" w:rsidP="00484BDE">
      <w:pPr>
        <w:spacing w:line="360" w:lineRule="auto"/>
      </w:pPr>
    </w:p>
    <w:p w:rsidR="00CD1E16" w:rsidRDefault="00B3360E" w:rsidP="00484BDE">
      <w:pPr>
        <w:spacing w:line="360" w:lineRule="auto"/>
      </w:pPr>
      <w:r>
        <w:t>In Österreich gibt es rund 1.8</w:t>
      </w:r>
      <w:r w:rsidR="00A12EB6">
        <w:t>00 Selbsthilfeorganisationen</w:t>
      </w:r>
      <w:r>
        <w:t>, Selbsthilfegruppen oder Patientenorganisationen mit etwa 800</w:t>
      </w:r>
      <w:r w:rsidR="00A12EB6">
        <w:t xml:space="preserve">.000 Mitgliedern. </w:t>
      </w:r>
      <w:r w:rsidR="001C219B">
        <w:t>In einer Bestandsaufnahme</w:t>
      </w:r>
      <w:r w:rsidR="001C219B">
        <w:rPr>
          <w:rStyle w:val="Funotenzeichen"/>
        </w:rPr>
        <w:footnoteReference w:id="3"/>
      </w:r>
      <w:r w:rsidR="001C219B">
        <w:t xml:space="preserve"> </w:t>
      </w:r>
      <w:r w:rsidR="001C219B">
        <w:lastRenderedPageBreak/>
        <w:t>der österreichischen Selbsthilfe im Jahr 2017 wu</w:t>
      </w:r>
      <w:r w:rsidR="006949CA">
        <w:t>rden 164 Organisationen reche</w:t>
      </w:r>
      <w:r w:rsidR="006949CA">
        <w:t>r</w:t>
      </w:r>
      <w:r w:rsidR="006949CA">
        <w:t>chiert</w:t>
      </w:r>
      <w:r w:rsidR="001C219B">
        <w:t>, die nach den entwickelten Kriterien (Aktivitäten in mindestens drei Bunde</w:t>
      </w:r>
      <w:r w:rsidR="001C219B">
        <w:t>s</w:t>
      </w:r>
      <w:r w:rsidR="001C219B">
        <w:t>ländern, Betroffenen- und Angehörigenselbstvertretung, Vertretung bundesweiter Anliegen) als Bundesorganisationen der Selbsthilfe einzustufen waren. Im Durc</w:t>
      </w:r>
      <w:r w:rsidR="001C219B">
        <w:t>h</w:t>
      </w:r>
      <w:r w:rsidR="001C219B">
        <w:t xml:space="preserve">schnitt bestanden </w:t>
      </w:r>
      <w:r w:rsidR="00334FA2">
        <w:t>diese Organisationen seit 18 Jahren bzw. seit 13 Jahren bei Organisationen mit seltenen Erkrankungen.</w:t>
      </w:r>
    </w:p>
    <w:p w:rsidR="00334FA2" w:rsidRDefault="00334FA2" w:rsidP="00484BDE">
      <w:pPr>
        <w:spacing w:line="360" w:lineRule="auto"/>
      </w:pPr>
    </w:p>
    <w:p w:rsidR="00334FA2" w:rsidRDefault="006949CA" w:rsidP="00484BDE">
      <w:pPr>
        <w:spacing w:line="360" w:lineRule="auto"/>
      </w:pPr>
      <w:r>
        <w:t xml:space="preserve">Inhaltlich zeigte die Bestandsaufnahme folgendes: </w:t>
      </w:r>
      <w:r w:rsidR="00334FA2">
        <w:t>Offenbar spielt die direkte gegenseitige Unterstützung für Selbsthilfegruppen und  Selbsthilfeorganisationen die größte Rolle in der täglichen Arbeit; auch die Öffentlichkeitsarbeit ist ein relevante</w:t>
      </w:r>
      <w:r w:rsidR="00E539EC">
        <w:t>s Arbeitsfeld; als nachrangiger Handlungsbereich</w:t>
      </w:r>
      <w:r w:rsidR="00334FA2">
        <w:t xml:space="preserve"> wird die Interessenve</w:t>
      </w:r>
      <w:r w:rsidR="00334FA2">
        <w:t>r</w:t>
      </w:r>
      <w:r w:rsidR="00334FA2">
        <w:t>tretung beschrieben.</w:t>
      </w:r>
    </w:p>
    <w:p w:rsidR="00334FA2" w:rsidRDefault="00334FA2" w:rsidP="00484BDE">
      <w:pPr>
        <w:spacing w:line="360" w:lineRule="auto"/>
      </w:pPr>
    </w:p>
    <w:p w:rsidR="00334FA2" w:rsidRDefault="00334FA2" w:rsidP="00484BDE">
      <w:pPr>
        <w:spacing w:line="360" w:lineRule="auto"/>
      </w:pPr>
      <w:r>
        <w:t xml:space="preserve">Ihre internen Ressourcen schätzen die Selbsthilfeorganisationen als eher ungünstig ein: </w:t>
      </w:r>
      <w:r w:rsidR="0046412E">
        <w:t xml:space="preserve">So </w:t>
      </w:r>
      <w:r w:rsidR="00E539EC">
        <w:t>verfügte nur die Hälfte über ein höheres Jahresbudget als 7.000 €; Zuwe</w:t>
      </w:r>
      <w:r w:rsidR="00E539EC">
        <w:t>n</w:t>
      </w:r>
      <w:r w:rsidR="00E539EC">
        <w:t>dungen aus privater Hand waren bedeutsamer als die</w:t>
      </w:r>
      <w:r w:rsidR="00A12EB6">
        <w:t>jenigen</w:t>
      </w:r>
      <w:r w:rsidR="00E539EC">
        <w:t xml:space="preserve"> durch die öffentliche Hand. Die Mehrheit der Sel</w:t>
      </w:r>
      <w:r w:rsidR="006949CA">
        <w:t xml:space="preserve">bsthilfeorganisationen hatten keine </w:t>
      </w:r>
      <w:r w:rsidR="00E539EC">
        <w:t>hauptamtliche</w:t>
      </w:r>
      <w:r w:rsidR="006949CA">
        <w:t>n</w:t>
      </w:r>
      <w:r w:rsidR="00E539EC">
        <w:t xml:space="preserve"> Mitarbeiter; vielmehr wurde die anfallende Arbeit bei einem Großteil der Selbsthi</w:t>
      </w:r>
      <w:r w:rsidR="00E539EC">
        <w:t>l</w:t>
      </w:r>
      <w:r w:rsidR="00E539EC">
        <w:t>feorganisationen durch ehrenamtliche Mitglieder geleistet, im Mittel von 6 Pers</w:t>
      </w:r>
      <w:r w:rsidR="00E539EC">
        <w:t>o</w:t>
      </w:r>
      <w:r w:rsidR="00E539EC">
        <w:t>nen. Zu drei Viertel wurde jedoch bemängelt, dass Anzahl und Leistungen für die notwendige Arbeit nicht ausreichten.</w:t>
      </w:r>
      <w:r w:rsidR="00A12EB6">
        <w:t xml:space="preserve"> Knapp 40 Prozent sehen das Risiko, dass ihre Selbsthilfeorganisation nicht mehr weiterbesteht, wenn sich die Rahmenbedingu</w:t>
      </w:r>
      <w:r w:rsidR="00A12EB6">
        <w:t>n</w:t>
      </w:r>
      <w:r w:rsidR="00A12EB6">
        <w:t>gen der Arbeit nicht ändern sollten.</w:t>
      </w:r>
    </w:p>
    <w:p w:rsidR="00CD1E16" w:rsidRDefault="00CD1E16" w:rsidP="00484BDE">
      <w:pPr>
        <w:spacing w:line="360" w:lineRule="auto"/>
      </w:pPr>
    </w:p>
    <w:p w:rsidR="004A082F" w:rsidRDefault="006949CA" w:rsidP="00683455">
      <w:pPr>
        <w:spacing w:line="360" w:lineRule="auto"/>
      </w:pPr>
      <w:r>
        <w:t>Von Seiten der österreichischen Sozialversicherung wurde – auch wegen dieser teilweise prekären Situation der Selbsthilfe –</w:t>
      </w:r>
      <w:r w:rsidR="00005F3C">
        <w:t xml:space="preserve"> ein Konzept initiiert, das</w:t>
      </w:r>
      <w:r>
        <w:t xml:space="preserve"> die Selbsthi</w:t>
      </w:r>
      <w:r>
        <w:t>l</w:t>
      </w:r>
      <w:r>
        <w:t xml:space="preserve">feorganisationen und die </w:t>
      </w:r>
      <w:r w:rsidR="00005F3C">
        <w:t xml:space="preserve">kollektive Patientenbeteiligung in Österreich stärken sollte. Gemeinsam mit den Vertretern der Bundesselbsthilfeorganisationen, dem Fond Gesundes Österreich und dem Bundesministerium für Gesundheit </w:t>
      </w:r>
      <w:r w:rsidR="00AA16FE">
        <w:t xml:space="preserve">wurde mit </w:t>
      </w:r>
      <w:r w:rsidR="00AA16FE">
        <w:lastRenderedPageBreak/>
        <w:t xml:space="preserve">einem Fördervolumen von 1,2 </w:t>
      </w:r>
      <w:r w:rsidR="0002308A">
        <w:t>Mio.</w:t>
      </w:r>
      <w:r w:rsidR="00AA16FE">
        <w:t xml:space="preserve"> ein erster Grundstein für eine stabile Förderung der Se</w:t>
      </w:r>
      <w:r w:rsidR="00EA6B53">
        <w:t xml:space="preserve">lbsthilfe in Österreich gelegt. </w:t>
      </w:r>
    </w:p>
    <w:p w:rsidR="004A082F" w:rsidRDefault="004A082F" w:rsidP="00683455">
      <w:pPr>
        <w:spacing w:line="360" w:lineRule="auto"/>
      </w:pPr>
    </w:p>
    <w:p w:rsidR="00F978CE" w:rsidRDefault="00EA6B53" w:rsidP="00683455">
      <w:pPr>
        <w:spacing w:line="360" w:lineRule="auto"/>
      </w:pPr>
      <w:r>
        <w:t>Die Förderung findet in vier Säulen statt:</w:t>
      </w:r>
    </w:p>
    <w:p w:rsidR="004B2ADA" w:rsidRDefault="00EA6B53" w:rsidP="00FD4D36">
      <w:r>
        <w:rPr>
          <w:noProof/>
        </w:rPr>
        <w:drawing>
          <wp:inline distT="0" distB="0" distL="0" distR="0" wp14:anchorId="6A9B2717" wp14:editId="5D379D55">
            <wp:extent cx="5486400" cy="3079631"/>
            <wp:effectExtent l="19050" t="0" r="1905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5F3C" w:rsidRDefault="00EA6B53" w:rsidP="00B0399F">
      <w:pPr>
        <w:spacing w:line="360" w:lineRule="auto"/>
      </w:pPr>
      <w:r>
        <w:t xml:space="preserve">Die </w:t>
      </w:r>
      <w:r w:rsidRPr="00486605">
        <w:rPr>
          <w:b/>
        </w:rPr>
        <w:t>erste Säule</w:t>
      </w:r>
      <w:r>
        <w:t xml:space="preserve"> ergänzt dabei die regionalen und lokalen Förderstrukturen. Sie sieht überdies die Möglichkeit einer Förderung von Projekten einzelner regionaler Selbsthilfegruppen, Selbsthilfeorganisationen und Selbsthilfedachverbän</w:t>
      </w:r>
      <w:r w:rsidR="00184FF7">
        <w:t>d</w:t>
      </w:r>
      <w:r>
        <w:t>e bzw. Kontaktstellen vor.</w:t>
      </w:r>
      <w:r w:rsidR="00327F19">
        <w:t xml:space="preserve"> Die Höhe der Mittel ergibt sich aus dem Anteil der Einwohne</w:t>
      </w:r>
      <w:r w:rsidR="00327F19">
        <w:t>r</w:t>
      </w:r>
      <w:r w:rsidR="00327F19">
        <w:t>zahl.</w:t>
      </w:r>
    </w:p>
    <w:p w:rsidR="00327F19" w:rsidRDefault="00327F19" w:rsidP="00B0399F">
      <w:pPr>
        <w:spacing w:line="360" w:lineRule="auto"/>
      </w:pPr>
    </w:p>
    <w:p w:rsidR="00327F19" w:rsidRDefault="00327F19" w:rsidP="00B0399F">
      <w:pPr>
        <w:spacing w:line="360" w:lineRule="auto"/>
      </w:pPr>
      <w:r>
        <w:t xml:space="preserve">Die </w:t>
      </w:r>
      <w:r w:rsidRPr="00486605">
        <w:rPr>
          <w:b/>
        </w:rPr>
        <w:t>zweite Säule</w:t>
      </w:r>
      <w:r>
        <w:t xml:space="preserve"> soll sowohl die beratende und koordinierende Funktion der Bundesselbsthilfeorganisationen „nach innen“ stärken, aber auch gleichzeitig dazu beitragen, dass sie „nach außen“, also gegenüber den Einrichtungen des Gesun</w:t>
      </w:r>
      <w:r>
        <w:t>d</w:t>
      </w:r>
      <w:r>
        <w:t>heitssystems, der Gesundheitspolitik und der Öffentlichkeit, wirksamer agiert.</w:t>
      </w:r>
    </w:p>
    <w:p w:rsidR="00FA7995" w:rsidRDefault="00FA7995" w:rsidP="00B0399F">
      <w:pPr>
        <w:spacing w:line="360" w:lineRule="auto"/>
      </w:pPr>
      <w:r>
        <w:t xml:space="preserve">Die </w:t>
      </w:r>
      <w:r w:rsidRPr="00486605">
        <w:rPr>
          <w:b/>
        </w:rPr>
        <w:t>dritte Säule</w:t>
      </w:r>
      <w:r>
        <w:t xml:space="preserve"> wurde nunmehr durch Gründung im März 2018 </w:t>
      </w:r>
      <w:r w:rsidRPr="00486605">
        <w:rPr>
          <w:b/>
        </w:rPr>
        <w:t>Bundesverbandes Selbsthilfe Österreichs</w:t>
      </w:r>
      <w:r>
        <w:t xml:space="preserve"> umgesetzt. Er soll – ebenso wie seine Bundesverbände – die Bündelung der Interessen „nach außen“ sicherstellen, aber auch die beratende und koordinierende Funktion „nach innen“ leisten. Die Vorläuferin des Bundesverbandes (ARGE Selbsthilfe Österreich) hatte</w:t>
      </w:r>
      <w:r w:rsidR="00486605">
        <w:t xml:space="preserve"> sich</w:t>
      </w:r>
      <w:r>
        <w:t xml:space="preserve"> aufgrund von</w:t>
      </w:r>
      <w:r w:rsidR="00486605">
        <w:t xml:space="preserve"> internen Schwierigkeiten und </w:t>
      </w:r>
      <w:r w:rsidR="00486605">
        <w:lastRenderedPageBreak/>
        <w:t>dem Rückzug von Fördermittelgebern aufgelöst; ein Teil der Selbsthilfedachve</w:t>
      </w:r>
      <w:r w:rsidR="00486605">
        <w:t>r</w:t>
      </w:r>
      <w:r w:rsidR="00486605">
        <w:t>bände auf Landesebene reagierte auf die Auflösung der ARGE mit der Gründung eines Nationalen Netzwerkes Selbsthilfe (NANES).</w:t>
      </w:r>
      <w:r>
        <w:t xml:space="preserve"> </w:t>
      </w:r>
    </w:p>
    <w:p w:rsidR="00FA7995" w:rsidRDefault="00FA7995" w:rsidP="00B0399F">
      <w:pPr>
        <w:spacing w:line="360" w:lineRule="auto"/>
      </w:pPr>
    </w:p>
    <w:p w:rsidR="00FA7995" w:rsidRDefault="00FA7995" w:rsidP="00B0399F">
      <w:pPr>
        <w:spacing w:line="360" w:lineRule="auto"/>
      </w:pPr>
      <w:r>
        <w:t xml:space="preserve">Die </w:t>
      </w:r>
      <w:r w:rsidRPr="00486605">
        <w:rPr>
          <w:b/>
        </w:rPr>
        <w:t>vierte Säule (Österreichische Kompetenz und Servicestelle Selbsthilfe – ÖKUSS)</w:t>
      </w:r>
      <w:r>
        <w:t xml:space="preserve"> soll die Weiterentwicklung der gemeinschaftlichen Selbsthilfe- und Patie</w:t>
      </w:r>
      <w:r>
        <w:t>n</w:t>
      </w:r>
      <w:r>
        <w:t>tenbeteiligung auf Bundesebene unterstützen. ÖKUSS wurde bereits 2017 als Abteilung des Fonds Gesundes Österreich eingerichtet, der eine nationale Gesun</w:t>
      </w:r>
      <w:r>
        <w:t>d</w:t>
      </w:r>
      <w:r>
        <w:t xml:space="preserve">heitsförderungsagentur darstellt. </w:t>
      </w:r>
    </w:p>
    <w:p w:rsidR="00B0399F" w:rsidRDefault="00B0399F" w:rsidP="00B0399F">
      <w:pPr>
        <w:spacing w:line="360" w:lineRule="auto"/>
      </w:pPr>
    </w:p>
    <w:p w:rsidR="00B0399F" w:rsidRDefault="00B0399F" w:rsidP="00B0399F">
      <w:pPr>
        <w:spacing w:line="360" w:lineRule="auto"/>
      </w:pPr>
      <w:r>
        <w:t>Insgesamt steht zu hoffen, dass sich die Situation</w:t>
      </w:r>
      <w:r w:rsidR="00600F96">
        <w:t xml:space="preserve"> der Selbsthilfe durch die erwe</w:t>
      </w:r>
      <w:r w:rsidR="00600F96">
        <w:t>i</w:t>
      </w:r>
      <w:r w:rsidR="00600F96">
        <w:t>terten</w:t>
      </w:r>
      <w:r>
        <w:t xml:space="preserve"> Fördermöglichkeiten und die Gründung eines Bundesverbandes substantiiert verbessern wird. </w:t>
      </w:r>
    </w:p>
    <w:p w:rsidR="00FA7995" w:rsidRDefault="00FA7995" w:rsidP="00FD4D36"/>
    <w:p w:rsidR="00AA16FE" w:rsidRPr="00600F96" w:rsidRDefault="00486605" w:rsidP="00486605">
      <w:pPr>
        <w:pStyle w:val="Listenabsatz"/>
        <w:numPr>
          <w:ilvl w:val="0"/>
          <w:numId w:val="19"/>
        </w:numPr>
        <w:rPr>
          <w:b/>
        </w:rPr>
      </w:pPr>
      <w:r w:rsidRPr="00600F96">
        <w:rPr>
          <w:b/>
        </w:rPr>
        <w:t>Situation der Selbsthilfe in der Schweizerischen Eidgenossenschaft</w:t>
      </w:r>
    </w:p>
    <w:p w:rsidR="00486605" w:rsidRDefault="00486605" w:rsidP="00486605"/>
    <w:p w:rsidR="00B0399F" w:rsidRDefault="00B0399F" w:rsidP="00621266">
      <w:pPr>
        <w:spacing w:line="360" w:lineRule="auto"/>
      </w:pPr>
      <w:r>
        <w:t>Die Stärkung der Kompetenzen von Betro</w:t>
      </w:r>
      <w:r w:rsidR="00600F96">
        <w:t>ffenen steht zwar auf der Agenda</w:t>
      </w:r>
      <w:r>
        <w:t xml:space="preserve"> in der nationalen Strategie  Gesundheit 2020, dennoch ist die Selbsthilfe in der Schweiz auf nationaler Ebene bisher nur wenig institutionalisiert, re</w:t>
      </w:r>
      <w:r w:rsidR="00BB0DEB">
        <w:t xml:space="preserve">chtlich kaum verankert und </w:t>
      </w:r>
      <w:r>
        <w:t>gefördert. Trotzdem wächst die Selbsthilfe: So stieg die Zahl der in der Deutschschweiz erfassten Selbsthilfegruppen in den letzten 10 Jahren vor 2015 von 1280 auf 2000 Gruppen. Auch in der französisch- und italienischsprachigen Schweiz wurden in den letzten Jahren neue Selbsthilfezentren gegründet.</w:t>
      </w:r>
      <w:r w:rsidR="00621266">
        <w:t xml:space="preserve"> Insgesamt gab es 2015 rund 2500 Selbsthilfegruppen in der Schweiz, davon drei Viertel aus dem Gesundheitsbereich.</w:t>
      </w:r>
      <w:r w:rsidR="00621266">
        <w:rPr>
          <w:rStyle w:val="Funotenzeichen"/>
        </w:rPr>
        <w:footnoteReference w:id="4"/>
      </w:r>
      <w:r w:rsidR="009E7486">
        <w:t xml:space="preserve"> </w:t>
      </w:r>
    </w:p>
    <w:p w:rsidR="00B0399F" w:rsidRDefault="00B0399F" w:rsidP="00486605"/>
    <w:p w:rsidR="00B0399F" w:rsidRDefault="009E7486" w:rsidP="00621266">
      <w:pPr>
        <w:spacing w:line="360" w:lineRule="auto"/>
      </w:pPr>
      <w:r>
        <w:t>Überwiegend findet die Förderung der Selbsthilfe über regionale Selbsthilfezentren statt.</w:t>
      </w:r>
      <w:r w:rsidR="007C2808">
        <w:t xml:space="preserve"> Sie sind eine Art Dre</w:t>
      </w:r>
      <w:r w:rsidR="00B14E0D">
        <w:t>hscheibe, hier findet auch oft</w:t>
      </w:r>
      <w:r w:rsidR="007C2808">
        <w:t xml:space="preserve"> eine Weitervermittlung an </w:t>
      </w:r>
      <w:r w:rsidR="007C2808">
        <w:lastRenderedPageBreak/>
        <w:t>örtliche Selbsthilfegruppen statt.</w:t>
      </w:r>
      <w:r w:rsidR="00B0399F">
        <w:t xml:space="preserve"> </w:t>
      </w:r>
      <w:r w:rsidR="007C2808">
        <w:t>Häufig</w:t>
      </w:r>
      <w:r w:rsidR="00B0399F">
        <w:t xml:space="preserve"> </w:t>
      </w:r>
      <w:r w:rsidR="007C2808">
        <w:t>sind sie</w:t>
      </w:r>
      <w:r w:rsidR="00621266">
        <w:t xml:space="preserve"> an psychiatrische Dienste oder Sozialberatungen angegliedert, </w:t>
      </w:r>
      <w:r w:rsidR="00BB0DEB">
        <w:t xml:space="preserve">sie </w:t>
      </w:r>
      <w:r w:rsidR="00621266">
        <w:t>werden aber zu immerhin 14 Prozent auch von Behinderten- und Selbsthilfeorganisationen getragen:</w:t>
      </w:r>
    </w:p>
    <w:p w:rsidR="00B0399F" w:rsidRDefault="00B0399F" w:rsidP="00486605"/>
    <w:p w:rsidR="00B0399F" w:rsidRDefault="00B0399F" w:rsidP="00486605"/>
    <w:p w:rsidR="00B0399F" w:rsidRDefault="00621266" w:rsidP="00486605">
      <w:r>
        <w:rPr>
          <w:noProof/>
        </w:rPr>
        <w:drawing>
          <wp:inline distT="0" distB="0" distL="0" distR="0" wp14:anchorId="15A67981" wp14:editId="2E900BBA">
            <wp:extent cx="5486400" cy="3200400"/>
            <wp:effectExtent l="0" t="0" r="19050" b="1905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5F3C" w:rsidRDefault="00005F3C" w:rsidP="00FD4D36">
      <w:pPr>
        <w:rPr>
          <w:rFonts w:ascii="Arial" w:hAnsi="Arial" w:cs="Arial"/>
          <w:sz w:val="15"/>
          <w:szCs w:val="15"/>
        </w:rPr>
      </w:pPr>
    </w:p>
    <w:p w:rsidR="00621266" w:rsidRDefault="00621266" w:rsidP="00FD4D36"/>
    <w:p w:rsidR="00621266" w:rsidRDefault="00621266" w:rsidP="00FD4D36"/>
    <w:p w:rsidR="004F24F3" w:rsidRDefault="004F24F3" w:rsidP="004F24F3">
      <w:pPr>
        <w:spacing w:line="360" w:lineRule="auto"/>
      </w:pPr>
      <w:r>
        <w:t>Die Förderung der Selbsthilfezentren ist regional sehr unterschiedlich ausgestaltet, vor allem die langfristig abgesicherten Ressourcen der Personalstellen sind sehr unterschiedlich. So hat etwa das Selbsthilfezentrum Basel eine Finanzierung zu 90 Prozent der 2,3 Vollzeitstellen. Demgegenüber verfügen strukturschwache Selbs</w:t>
      </w:r>
      <w:r>
        <w:t>t</w:t>
      </w:r>
      <w:r>
        <w:t>hilfezentren nur über eine abgesicherte Finanzierung von ca. 30 Prozent ihrer Stellen. Dementsprechend hoch ist der Anteil und Aufwand für das Fundraising.</w:t>
      </w:r>
    </w:p>
    <w:p w:rsidR="004F24F3" w:rsidRDefault="004F24F3" w:rsidP="004F24F3">
      <w:pPr>
        <w:spacing w:line="360" w:lineRule="auto"/>
      </w:pPr>
    </w:p>
    <w:p w:rsidR="004F24F3" w:rsidRDefault="004F24F3" w:rsidP="004F24F3">
      <w:pPr>
        <w:spacing w:line="360" w:lineRule="auto"/>
      </w:pPr>
      <w:r>
        <w:t>Generell sind auch Selbsthilfeorganisationen – wie etwa die Alzheimer Gesellschaft- überwiegend auf Spe</w:t>
      </w:r>
      <w:r w:rsidR="000E4163">
        <w:t>nden, Legate, Mitgliedsbeiträge, Beiträge</w:t>
      </w:r>
      <w:r>
        <w:t xml:space="preserve"> aus Subventionsve</w:t>
      </w:r>
      <w:r>
        <w:t>r</w:t>
      </w:r>
      <w:r>
        <w:t xml:space="preserve">trägen mit der öffentlichen Hand und durch Stiftungen angewiesen. Eine stabile </w:t>
      </w:r>
      <w:r>
        <w:lastRenderedPageBreak/>
        <w:t xml:space="preserve">Finanzierung der Bundesorganisationen der Selbsthilfe besteht </w:t>
      </w:r>
      <w:r w:rsidR="00BB0DEB">
        <w:t xml:space="preserve">wohl leider bisher </w:t>
      </w:r>
      <w:r>
        <w:t>nicht.</w:t>
      </w:r>
    </w:p>
    <w:p w:rsidR="004F24F3" w:rsidRDefault="004F24F3" w:rsidP="004F24F3">
      <w:pPr>
        <w:spacing w:line="360" w:lineRule="auto"/>
      </w:pPr>
    </w:p>
    <w:p w:rsidR="00005F3C" w:rsidRPr="00D16A93" w:rsidRDefault="00005F3C" w:rsidP="003C5C91">
      <w:pPr>
        <w:pStyle w:val="Listenabsatz"/>
        <w:numPr>
          <w:ilvl w:val="0"/>
          <w:numId w:val="15"/>
        </w:numPr>
        <w:rPr>
          <w:b/>
        </w:rPr>
      </w:pPr>
      <w:r w:rsidRPr="00D16A93">
        <w:rPr>
          <w:b/>
        </w:rPr>
        <w:t>Innovative Ansätze</w:t>
      </w:r>
      <w:r w:rsidR="003C5C91" w:rsidRPr="00D16A93">
        <w:rPr>
          <w:b/>
        </w:rPr>
        <w:t>, welche aus der Zusammenarbeit heraus entw</w:t>
      </w:r>
      <w:r w:rsidR="003C5C91" w:rsidRPr="00D16A93">
        <w:rPr>
          <w:b/>
        </w:rPr>
        <w:t>i</w:t>
      </w:r>
      <w:r w:rsidR="003C5C91" w:rsidRPr="00D16A93">
        <w:rPr>
          <w:b/>
        </w:rPr>
        <w:t>ckelt werden können</w:t>
      </w:r>
      <w:r w:rsidRPr="00D16A93">
        <w:rPr>
          <w:b/>
        </w:rPr>
        <w:t xml:space="preserve"> </w:t>
      </w:r>
      <w:r w:rsidR="00D16A93">
        <w:rPr>
          <w:b/>
        </w:rPr>
        <w:t>bzw. welche eine Gelegenheit zur Zusammena</w:t>
      </w:r>
      <w:r w:rsidR="00D16A93">
        <w:rPr>
          <w:b/>
        </w:rPr>
        <w:t>r</w:t>
      </w:r>
      <w:r w:rsidR="00D16A93">
        <w:rPr>
          <w:b/>
        </w:rPr>
        <w:t>beit bieten</w:t>
      </w:r>
    </w:p>
    <w:p w:rsidR="00D16A93" w:rsidRDefault="00D16A93" w:rsidP="00D16A93"/>
    <w:p w:rsidR="00D16A93" w:rsidRDefault="00A64E59" w:rsidP="00D16A93">
      <w:pPr>
        <w:spacing w:line="360" w:lineRule="auto"/>
      </w:pPr>
      <w:r>
        <w:t xml:space="preserve">So unterschiedlich die Strukturen der Gesundheitssysteme und die Ausgestaltung der Selbsthilfe ist, bleibt die Frage: </w:t>
      </w:r>
      <w:r w:rsidR="00DB1B23">
        <w:t>Wo</w:t>
      </w:r>
      <w:r w:rsidR="00D16A93">
        <w:t xml:space="preserve"> ergeben sich Schnittpunkte, an denen sich Selbst</w:t>
      </w:r>
      <w:r w:rsidR="000E4163">
        <w:t>hilfeorganisationen gegenseitig</w:t>
      </w:r>
      <w:r w:rsidR="00D16A93">
        <w:t xml:space="preserve"> weiterhelfen können oder neue Lösungen erarbeiten können?</w:t>
      </w:r>
    </w:p>
    <w:p w:rsidR="00AA16FE" w:rsidRDefault="00AA16FE" w:rsidP="00FD4D36"/>
    <w:p w:rsidR="00AA16FE" w:rsidRPr="00D16A93" w:rsidRDefault="00AA16FE" w:rsidP="00AA16FE">
      <w:pPr>
        <w:pStyle w:val="Listenabsatz"/>
        <w:numPr>
          <w:ilvl w:val="0"/>
          <w:numId w:val="20"/>
        </w:numPr>
        <w:rPr>
          <w:b/>
        </w:rPr>
      </w:pPr>
      <w:r w:rsidRPr="00D16A93">
        <w:rPr>
          <w:b/>
        </w:rPr>
        <w:t>Organisationsentwicklung</w:t>
      </w:r>
    </w:p>
    <w:p w:rsidR="00BB0DEB" w:rsidRDefault="00BB0DEB" w:rsidP="00FD4D36"/>
    <w:p w:rsidR="00AA16FE" w:rsidRPr="00BB0DEB" w:rsidRDefault="003C5C91" w:rsidP="00BB0DEB">
      <w:pPr>
        <w:spacing w:line="360" w:lineRule="auto"/>
      </w:pPr>
      <w:r w:rsidRPr="00BB0DEB">
        <w:t>Angesichts der sehr unterschiedlichen Struk</w:t>
      </w:r>
      <w:r w:rsidR="00022723" w:rsidRPr="00BB0DEB">
        <w:t>t</w:t>
      </w:r>
      <w:r w:rsidRPr="00BB0DEB">
        <w:t>uren und Finanzierungen scheint es auf den ersten Blick ein sehr ambitioniertes Proje</w:t>
      </w:r>
      <w:r w:rsidR="00022723" w:rsidRPr="00BB0DEB">
        <w:t>kt, Ideen</w:t>
      </w:r>
      <w:r w:rsidRPr="00BB0DEB">
        <w:t xml:space="preserve"> für die Organisationsen</w:t>
      </w:r>
      <w:r w:rsidRPr="00BB0DEB">
        <w:t>t</w:t>
      </w:r>
      <w:r w:rsidRPr="00BB0DEB">
        <w:t xml:space="preserve">wicklung der Selbsthilfeorganisationen aus einer Zusammenarbeit heraus zu entwickeln. </w:t>
      </w:r>
    </w:p>
    <w:p w:rsidR="003C5C91" w:rsidRPr="00BB0DEB" w:rsidRDefault="003C5C91" w:rsidP="00BB0DEB">
      <w:pPr>
        <w:spacing w:line="360" w:lineRule="auto"/>
      </w:pPr>
    </w:p>
    <w:p w:rsidR="003C5C91" w:rsidRPr="00BB0DEB" w:rsidRDefault="003C5C91" w:rsidP="00BB0DEB">
      <w:pPr>
        <w:spacing w:line="360" w:lineRule="auto"/>
      </w:pPr>
      <w:r w:rsidRPr="00BB0DEB">
        <w:t>Gleichwohl ist allen Selbsthil</w:t>
      </w:r>
      <w:r w:rsidR="00DB1B23">
        <w:t xml:space="preserve">festrukturen gemeinsam, dass </w:t>
      </w:r>
      <w:r w:rsidRPr="00BB0DEB">
        <w:t>die Selbsthilfegruppe als „Keimzelle“ der Selbsthilfe gefördert und erhalten bleiben muss. Dies geht nicht ohne vernünftige Gruppen- und Kommunikationsstrukturen und ein gutes Team.</w:t>
      </w:r>
      <w:r w:rsidR="00DB1B23">
        <w:t xml:space="preserve"> Gleichwohl kann sich eine</w:t>
      </w:r>
      <w:r w:rsidR="00022723" w:rsidRPr="00BB0DEB">
        <w:t xml:space="preserve"> Organisation sicherlich nicht auf die Organisation</w:t>
      </w:r>
      <w:r w:rsidR="00DB1B23">
        <w:t xml:space="preserve"> einer Selbsthilfegruppe</w:t>
      </w:r>
      <w:r w:rsidR="00022723" w:rsidRPr="00BB0DEB">
        <w:t xml:space="preserve"> beschränken, sondern muss weitergehend auch Geschäftsführung und Aufbau der Organisation insgesamt berücksichtigen.</w:t>
      </w:r>
    </w:p>
    <w:p w:rsidR="003C5C91" w:rsidRPr="00BB0DEB" w:rsidRDefault="003C5C91" w:rsidP="00BB0DEB">
      <w:pPr>
        <w:spacing w:line="360" w:lineRule="auto"/>
      </w:pPr>
    </w:p>
    <w:p w:rsidR="00AA16FE" w:rsidRPr="00BB0DEB" w:rsidRDefault="00022723" w:rsidP="00BB0DEB">
      <w:pPr>
        <w:spacing w:line="360" w:lineRule="auto"/>
      </w:pPr>
      <w:r w:rsidRPr="00BB0DEB">
        <w:t>Hinsichtlich der Selbsthilfegruppen</w:t>
      </w:r>
      <w:r w:rsidR="003C5C91" w:rsidRPr="00BB0DEB">
        <w:t xml:space="preserve"> hat beispielsweise die Selbsthilfe Tirol intere</w:t>
      </w:r>
      <w:r w:rsidR="003C5C91" w:rsidRPr="00BB0DEB">
        <w:t>s</w:t>
      </w:r>
      <w:r w:rsidR="003C5C91" w:rsidRPr="00BB0DEB">
        <w:t xml:space="preserve">sante </w:t>
      </w:r>
      <w:r w:rsidR="00BB0DEB" w:rsidRPr="00BB0DEB">
        <w:t>Basis-</w:t>
      </w:r>
      <w:r w:rsidR="003C5C91" w:rsidRPr="00BB0DEB">
        <w:t>Fortbildungen für Selbsthilfe</w:t>
      </w:r>
      <w:r w:rsidRPr="00BB0DEB">
        <w:t>-Aktive entwickelt, so</w:t>
      </w:r>
      <w:r w:rsidR="004A082F">
        <w:t xml:space="preserve"> z.B.</w:t>
      </w:r>
      <w:r w:rsidRPr="00BB0DEB">
        <w:t xml:space="preserve"> eine </w:t>
      </w:r>
      <w:r w:rsidR="003C5C91" w:rsidRPr="00BB0DEB">
        <w:t>Starthilfe für Selbsthilfegruppen, Fortentwicklung von Teamarbeit und die Entwicklung von Ideen hin zu einem Projekt (</w:t>
      </w:r>
      <w:hyperlink r:id="rId15" w:history="1">
        <w:r w:rsidR="00AA16FE" w:rsidRPr="00BB0DEB">
          <w:rPr>
            <w:rStyle w:val="Hyperlink"/>
          </w:rPr>
          <w:t>https://www.selbsthilfe-tirol.at/fortbildungen/</w:t>
        </w:r>
      </w:hyperlink>
      <w:r w:rsidR="003C5C91" w:rsidRPr="00BB0DEB">
        <w:t>).</w:t>
      </w:r>
      <w:r w:rsidRPr="00BB0DEB">
        <w:t xml:space="preserve"> Darauf aufbauen könnten etwa Organisationsentwicklungskonzepte der BAG SELBSTHILFE</w:t>
      </w:r>
      <w:r w:rsidR="00DB1B23">
        <w:t xml:space="preserve"> für den „Überbau“ der Organisation</w:t>
      </w:r>
      <w:r w:rsidRPr="00BB0DEB">
        <w:t xml:space="preserve"> genutzt werden </w:t>
      </w:r>
      <w:r w:rsidRPr="00BB0DEB">
        <w:lastRenderedPageBreak/>
        <w:t>(</w:t>
      </w:r>
      <w:hyperlink r:id="rId16" w:history="1">
        <w:r w:rsidRPr="00BB0DEB">
          <w:rPr>
            <w:rStyle w:val="Hyperlink"/>
          </w:rPr>
          <w:t>https://www.bag-selbsthilfe.de/informationsportal-selbsthilfe-aktive/projekte/</w:t>
        </w:r>
      </w:hyperlink>
      <w:r w:rsidRPr="00BB0DEB">
        <w:t>). Auf diese Weise ergibt sich die Chance sowohl Möglichkeiten zur Verbesserung der Arbeit der „Keimzelle“ als a</w:t>
      </w:r>
      <w:r w:rsidR="00C74534" w:rsidRPr="00BB0DEB">
        <w:t>uch der darauf aufbauenden Or</w:t>
      </w:r>
      <w:r w:rsidRPr="00BB0DEB">
        <w:t xml:space="preserve">ganisation zu nutzen. </w:t>
      </w:r>
    </w:p>
    <w:p w:rsidR="00AA16FE" w:rsidRPr="00BB0DEB" w:rsidRDefault="00AA16FE" w:rsidP="00BB0DEB">
      <w:pPr>
        <w:spacing w:line="360" w:lineRule="auto"/>
      </w:pPr>
    </w:p>
    <w:p w:rsidR="00AA16FE" w:rsidRPr="006C136A" w:rsidRDefault="00AA16FE" w:rsidP="00AA16FE">
      <w:pPr>
        <w:pStyle w:val="Listenabsatz"/>
        <w:numPr>
          <w:ilvl w:val="0"/>
          <w:numId w:val="20"/>
        </w:numPr>
        <w:rPr>
          <w:b/>
        </w:rPr>
      </w:pPr>
      <w:r w:rsidRPr="006C136A">
        <w:rPr>
          <w:b/>
        </w:rPr>
        <w:t>Mitgliedergewinnung</w:t>
      </w:r>
      <w:r w:rsidR="006101DE" w:rsidRPr="006C136A">
        <w:rPr>
          <w:b/>
        </w:rPr>
        <w:t>/ Imageverbesserung</w:t>
      </w:r>
    </w:p>
    <w:p w:rsidR="00C74534" w:rsidRDefault="00C74534" w:rsidP="00C74534">
      <w:pPr>
        <w:pStyle w:val="Listenabsatz"/>
      </w:pPr>
    </w:p>
    <w:p w:rsidR="004A082F" w:rsidRDefault="00C74534" w:rsidP="00D16A93">
      <w:pPr>
        <w:spacing w:before="100" w:beforeAutospacing="1" w:after="100" w:afterAutospacing="1" w:line="360" w:lineRule="auto"/>
      </w:pPr>
      <w:r w:rsidRPr="00D16A93">
        <w:t xml:space="preserve">Ein übergreifendes Problem insbesondere in Deutschland und Österreich ist die Gewinnung von aktiven Mitgliedern. </w:t>
      </w:r>
      <w:r w:rsidR="006101DE" w:rsidRPr="00D16A93">
        <w:t>Auch das Image der Selbsthilfe als händche</w:t>
      </w:r>
      <w:r w:rsidR="006101DE" w:rsidRPr="00D16A93">
        <w:t>n</w:t>
      </w:r>
      <w:r w:rsidR="006101DE" w:rsidRPr="00D16A93">
        <w:t>haltender Stuhlkreis spielt in diesem Zusammenhang eine große Rolle. Hier hat etwa die BAG SELBSTHILFE – gefördert durch den BKK-Dachverband – eine innovat</w:t>
      </w:r>
      <w:r w:rsidR="006101DE" w:rsidRPr="00D16A93">
        <w:t>i</w:t>
      </w:r>
      <w:r w:rsidR="006101DE" w:rsidRPr="00D16A93">
        <w:t xml:space="preserve">ve Strategie zum Ansprechen neuer Mitglieder entwickelt. </w:t>
      </w:r>
      <w:r w:rsidR="00D16A93" w:rsidRPr="00D16A93">
        <w:t>So wurde</w:t>
      </w:r>
      <w:r w:rsidR="006101DE" w:rsidRPr="00D16A93">
        <w:t xml:space="preserve"> ein Leitfaden mit nützlichen Hinweisen und Tipps rund um die Planung und Durchführung eines Picknicks mit </w:t>
      </w:r>
      <w:r w:rsidR="006101DE" w:rsidRPr="006101DE">
        <w:t>Vorlage</w:t>
      </w:r>
      <w:r w:rsidR="006101DE" w:rsidRPr="00D16A93">
        <w:t>n</w:t>
      </w:r>
      <w:r w:rsidR="006101DE" w:rsidRPr="006101DE">
        <w:t xml:space="preserve"> für Flyer</w:t>
      </w:r>
      <w:r w:rsidR="006101DE" w:rsidRPr="00D16A93">
        <w:t xml:space="preserve"> und Plakate</w:t>
      </w:r>
      <w:r w:rsidR="00D16A93" w:rsidRPr="00D16A93">
        <w:t>, Werbesäulen und XXL-Jenga- Spielen entwickelt.</w:t>
      </w:r>
      <w:r w:rsidR="00D16A93">
        <w:t xml:space="preserve"> Ferner wird derzeit an einem Projekt zu einer Strategie der Gewinnung neuer Mitglieder gearbeitet; auch diese Ergebnisse könnten dann nach Fertigste</w:t>
      </w:r>
      <w:r w:rsidR="00D16A93">
        <w:t>l</w:t>
      </w:r>
      <w:r w:rsidR="00D16A93">
        <w:t>lung ausgetauscht werden.</w:t>
      </w:r>
    </w:p>
    <w:p w:rsidR="0036506C" w:rsidRDefault="0036506C" w:rsidP="00D16A93">
      <w:pPr>
        <w:spacing w:before="100" w:beforeAutospacing="1" w:after="100" w:afterAutospacing="1" w:line="360" w:lineRule="auto"/>
      </w:pPr>
      <w:r>
        <w:t>In Österreich diskutiert man derzeit auch intensiv über die Frage, wie aktive Mitglieder gewonnen werden können. Entscheidend ist neben der Ansprache aber offenbar auch, wie Übergänge von „alten Hasen“ zu neuen Aktiven in der Verein</w:t>
      </w:r>
      <w:r>
        <w:t>s</w:t>
      </w:r>
      <w:r>
        <w:t>organisation gestaltet werden können. Insbesondere Fragen des Loslassens und des geregelten Übergangs sind hier offenbar wichtige Gesichtspunkte.</w:t>
      </w:r>
    </w:p>
    <w:p w:rsidR="000E4163" w:rsidRDefault="0036506C" w:rsidP="00D16A93">
      <w:pPr>
        <w:spacing w:before="100" w:beforeAutospacing="1" w:after="100" w:afterAutospacing="1" w:line="360" w:lineRule="auto"/>
      </w:pPr>
      <w:r>
        <w:t xml:space="preserve">Ein weiteres Problem scheint dort auch die geringe Bewilligungsquote der </w:t>
      </w:r>
      <w:r w:rsidR="00EC0AF0">
        <w:t>Berufsu</w:t>
      </w:r>
      <w:r w:rsidR="00EC0AF0">
        <w:t>n</w:t>
      </w:r>
      <w:r w:rsidR="00EC0AF0">
        <w:t>fähigkeitsrente zu sein, da viele Menschen</w:t>
      </w:r>
      <w:r>
        <w:t xml:space="preserve"> sich die ehrenamtliche</w:t>
      </w:r>
      <w:r w:rsidR="00EC0AF0">
        <w:t xml:space="preserve"> Tätigkeit neben Beruf, Krankheitsbewältigung und Familie nicht mehr zeitlich leisten können.</w:t>
      </w:r>
    </w:p>
    <w:p w:rsidR="0036506C" w:rsidRPr="00D16A93" w:rsidRDefault="000E4163" w:rsidP="00353604">
      <w:r>
        <w:br w:type="page"/>
      </w:r>
    </w:p>
    <w:p w:rsidR="004A082F" w:rsidRPr="006C136A" w:rsidRDefault="004A082F" w:rsidP="004A082F">
      <w:pPr>
        <w:pStyle w:val="Listenabsatz"/>
        <w:numPr>
          <w:ilvl w:val="0"/>
          <w:numId w:val="20"/>
        </w:numPr>
        <w:rPr>
          <w:b/>
        </w:rPr>
      </w:pPr>
      <w:r w:rsidRPr="006C136A">
        <w:rPr>
          <w:b/>
        </w:rPr>
        <w:lastRenderedPageBreak/>
        <w:t>Austausch von Broschüren und Materialien</w:t>
      </w:r>
    </w:p>
    <w:p w:rsidR="004A082F" w:rsidRDefault="004A082F" w:rsidP="004A082F">
      <w:pPr>
        <w:pStyle w:val="Listenabsatz"/>
      </w:pPr>
    </w:p>
    <w:p w:rsidR="00C74534" w:rsidRDefault="004A082F" w:rsidP="00D16A93">
      <w:pPr>
        <w:spacing w:line="360" w:lineRule="auto"/>
      </w:pPr>
      <w:r>
        <w:t xml:space="preserve">Durchaus hilfreich und wichtig kann auch ein Austausch von Broschüren und Materialien der verschiedenen Selbsthilfevereinigungen in den Ländern sein – wie es etwa die Deutsche Alzheimer Gesellschaft gemacht hat. Auch Arbeitsmaterialien könnten ausgetauscht werden; dies gilt etwa </w:t>
      </w:r>
      <w:r w:rsidR="00353604">
        <w:t xml:space="preserve">für </w:t>
      </w:r>
      <w:r>
        <w:t>die Leitsätze zur Zusammenarbeit mit Wirtschaftsunternehmen bzw. der Selbstauskunftsmatrix, welche weitergeg</w:t>
      </w:r>
      <w:r>
        <w:t>e</w:t>
      </w:r>
      <w:r>
        <w:t>ben werden können.</w:t>
      </w:r>
      <w:r w:rsidR="00D16A93">
        <w:t xml:space="preserve"> Auch bei einer Entwicklung von Leitbildern können gegenseit</w:t>
      </w:r>
      <w:r w:rsidR="00D16A93">
        <w:t>i</w:t>
      </w:r>
      <w:r w:rsidR="00D16A93">
        <w:t>ge Beispiele von Leitbildern oder die Darstellung der damaligen Diskussion im Verband weiterhelfen.</w:t>
      </w:r>
    </w:p>
    <w:p w:rsidR="00AA16FE" w:rsidRDefault="00AA16FE" w:rsidP="00AA16FE">
      <w:pPr>
        <w:pStyle w:val="Listenabsatz"/>
      </w:pPr>
    </w:p>
    <w:p w:rsidR="00AA16FE" w:rsidRDefault="00AA16FE" w:rsidP="00AA16FE">
      <w:pPr>
        <w:pStyle w:val="Listenabsatz"/>
        <w:numPr>
          <w:ilvl w:val="0"/>
          <w:numId w:val="20"/>
        </w:numPr>
        <w:rPr>
          <w:b/>
        </w:rPr>
      </w:pPr>
      <w:r w:rsidRPr="006C136A">
        <w:rPr>
          <w:b/>
        </w:rPr>
        <w:t>Gesundheitskompetenz</w:t>
      </w:r>
    </w:p>
    <w:p w:rsidR="006C136A" w:rsidRPr="00BF5F9E" w:rsidRDefault="006C136A" w:rsidP="00BF5F9E">
      <w:pPr>
        <w:pStyle w:val="StandardWeb"/>
        <w:spacing w:line="360" w:lineRule="auto"/>
        <w:rPr>
          <w:rFonts w:ascii="Trebuchet MS" w:hAnsi="Trebuchet MS"/>
        </w:rPr>
      </w:pPr>
      <w:r w:rsidRPr="00BF5F9E">
        <w:rPr>
          <w:rFonts w:ascii="Trebuchet MS" w:hAnsi="Trebuchet MS"/>
        </w:rPr>
        <w:t xml:space="preserve">Im Rahmen der </w:t>
      </w:r>
      <w:r w:rsidRPr="00BF5F9E">
        <w:rPr>
          <w:rFonts w:ascii="Trebuchet MS" w:eastAsiaTheme="majorEastAsia" w:hAnsi="Trebuchet MS"/>
        </w:rPr>
        <w:t>European Health Literacy Survey (HLS-EU-Studie)</w:t>
      </w:r>
      <w:r w:rsidRPr="00BF5F9E">
        <w:rPr>
          <w:rFonts w:ascii="Trebuchet MS" w:hAnsi="Trebuchet MS"/>
        </w:rPr>
        <w:t xml:space="preserve"> wurde ein umfa</w:t>
      </w:r>
      <w:r w:rsidRPr="00BF5F9E">
        <w:rPr>
          <w:rFonts w:ascii="Trebuchet MS" w:hAnsi="Trebuchet MS"/>
        </w:rPr>
        <w:t>s</w:t>
      </w:r>
      <w:r w:rsidRPr="00BF5F9E">
        <w:rPr>
          <w:rFonts w:ascii="Trebuchet MS" w:hAnsi="Trebuchet MS"/>
        </w:rPr>
        <w:t xml:space="preserve">sender Fragenkatalog mit insgesamt 47 Fragen für die Erhebung von </w:t>
      </w:r>
      <w:r w:rsidRPr="00BF5F9E">
        <w:rPr>
          <w:rFonts w:ascii="Trebuchet MS" w:eastAsiaTheme="majorEastAsia" w:hAnsi="Trebuchet MS"/>
        </w:rPr>
        <w:t>Gesundheit</w:t>
      </w:r>
      <w:r w:rsidRPr="00BF5F9E">
        <w:rPr>
          <w:rFonts w:ascii="Trebuchet MS" w:eastAsiaTheme="majorEastAsia" w:hAnsi="Trebuchet MS"/>
        </w:rPr>
        <w:t>s</w:t>
      </w:r>
      <w:r w:rsidRPr="00BF5F9E">
        <w:rPr>
          <w:rFonts w:ascii="Trebuchet MS" w:eastAsiaTheme="majorEastAsia" w:hAnsi="Trebuchet MS"/>
        </w:rPr>
        <w:t>kompetenz</w:t>
      </w:r>
      <w:r w:rsidRPr="00BF5F9E">
        <w:rPr>
          <w:rFonts w:ascii="Trebuchet MS" w:hAnsi="Trebuchet MS"/>
        </w:rPr>
        <w:t xml:space="preserve"> einer repräsentativen Stichprobe in den Bereichen Krankheitsbewält</w:t>
      </w:r>
      <w:r w:rsidRPr="00BF5F9E">
        <w:rPr>
          <w:rFonts w:ascii="Trebuchet MS" w:hAnsi="Trebuchet MS"/>
        </w:rPr>
        <w:t>i</w:t>
      </w:r>
      <w:r w:rsidRPr="00BF5F9E">
        <w:rPr>
          <w:rFonts w:ascii="Trebuchet MS" w:hAnsi="Trebuchet MS"/>
        </w:rPr>
        <w:t xml:space="preserve">gung, </w:t>
      </w:r>
      <w:r w:rsidRPr="00BF5F9E">
        <w:rPr>
          <w:rFonts w:ascii="Trebuchet MS" w:eastAsiaTheme="majorEastAsia" w:hAnsi="Trebuchet MS"/>
        </w:rPr>
        <w:t>Prävention</w:t>
      </w:r>
      <w:r w:rsidRPr="00BF5F9E">
        <w:rPr>
          <w:rFonts w:ascii="Trebuchet MS" w:hAnsi="Trebuchet MS"/>
        </w:rPr>
        <w:t xml:space="preserve"> und </w:t>
      </w:r>
      <w:r w:rsidRPr="00BF5F9E">
        <w:rPr>
          <w:rFonts w:ascii="Trebuchet MS" w:eastAsiaTheme="majorEastAsia" w:hAnsi="Trebuchet MS"/>
        </w:rPr>
        <w:t>Gesundheitsförderung</w:t>
      </w:r>
      <w:r w:rsidRPr="00BF5F9E">
        <w:rPr>
          <w:rFonts w:ascii="Trebuchet MS" w:hAnsi="Trebuchet MS"/>
        </w:rPr>
        <w:t xml:space="preserve"> erstellt. Die Studie ergab, dass in allen drei Ländern noch erheblicher Verbesserungsbedarf für die Gesundheitskompetenz der Nutzer vorhanden ist.</w:t>
      </w:r>
    </w:p>
    <w:p w:rsidR="000E4163" w:rsidRDefault="006C136A" w:rsidP="00BF5F9E">
      <w:pPr>
        <w:pStyle w:val="StandardWeb"/>
        <w:spacing w:line="360" w:lineRule="auto"/>
        <w:rPr>
          <w:rFonts w:ascii="Trebuchet MS" w:hAnsi="Trebuchet MS"/>
        </w:rPr>
      </w:pPr>
      <w:r w:rsidRPr="00BF5F9E">
        <w:rPr>
          <w:rFonts w:ascii="Trebuchet MS" w:hAnsi="Trebuchet MS"/>
        </w:rPr>
        <w:t>Die Selbsthilfe hat seit jeher das Anliegen, Menschen in ihrem Wissen und ihrer Kompetenz im Umgang mit der Erkrankung zu stärken; ein entsprechendes E</w:t>
      </w:r>
      <w:r w:rsidRPr="00BF5F9E">
        <w:rPr>
          <w:rFonts w:ascii="Trebuchet MS" w:hAnsi="Trebuchet MS"/>
        </w:rPr>
        <w:t>m</w:t>
      </w:r>
      <w:r w:rsidRPr="00BF5F9E">
        <w:rPr>
          <w:rFonts w:ascii="Trebuchet MS" w:hAnsi="Trebuchet MS"/>
        </w:rPr>
        <w:t>powerment der Patienten gehört damit zur Kernkompetenz der Selbsthilfe. Vor diesem Hintergrund bietet es sich</w:t>
      </w:r>
      <w:r w:rsidR="00BF5F9E" w:rsidRPr="00BF5F9E">
        <w:rPr>
          <w:rFonts w:ascii="Trebuchet MS" w:hAnsi="Trebuchet MS"/>
        </w:rPr>
        <w:t xml:space="preserve"> an, die Lösungsansätze und die Erfahrungen der einzelnen Länder auszutauschen und weitere Lösungsansätze zu entwickeln. So hat etwa Österreich im Rahmen seines Gesundheitsziele Prozesses einen Schwerpunkt Gesundheitskompetenz, Deutschland engagiert sich in dem Nationalen Aktionsplan Gesundheitskompetenz und der Allianz für Gesundheitskompetenz. Auch in der Schweiz gibt es eine entsprechende Allianz.</w:t>
      </w:r>
    </w:p>
    <w:p w:rsidR="000E4163" w:rsidRDefault="000E4163" w:rsidP="000E4163">
      <w:r>
        <w:br w:type="page"/>
      </w:r>
    </w:p>
    <w:p w:rsidR="00AA16FE" w:rsidRPr="00BF5F9E" w:rsidRDefault="00AA16FE" w:rsidP="00BF5F9E">
      <w:pPr>
        <w:pStyle w:val="StandardWeb"/>
        <w:spacing w:line="360" w:lineRule="auto"/>
        <w:rPr>
          <w:rFonts w:ascii="Trebuchet MS" w:hAnsi="Trebuchet MS"/>
        </w:rPr>
      </w:pPr>
    </w:p>
    <w:p w:rsidR="00AA16FE" w:rsidRPr="00DB1B23" w:rsidRDefault="00AA16FE" w:rsidP="00AA16FE">
      <w:pPr>
        <w:pStyle w:val="Listenabsatz"/>
        <w:numPr>
          <w:ilvl w:val="0"/>
          <w:numId w:val="20"/>
        </w:numPr>
        <w:rPr>
          <w:b/>
        </w:rPr>
      </w:pPr>
      <w:r w:rsidRPr="00DB1B23">
        <w:rPr>
          <w:b/>
        </w:rPr>
        <w:t xml:space="preserve">Digitalisierung </w:t>
      </w:r>
    </w:p>
    <w:p w:rsidR="00BF5F9E" w:rsidRPr="00DB1B23" w:rsidRDefault="00BF5F9E" w:rsidP="00BF5F9E">
      <w:pPr>
        <w:rPr>
          <w:b/>
        </w:rPr>
      </w:pPr>
    </w:p>
    <w:p w:rsidR="00CE17C6" w:rsidRDefault="00CE17C6" w:rsidP="00841EF8">
      <w:pPr>
        <w:spacing w:line="360" w:lineRule="auto"/>
      </w:pPr>
      <w:r>
        <w:t>Die Digitalisierung verändert die Selbsthilfe. Verbände sind zunehmend auch im Bereich Social Media unterwegs und versuchen, über digitale Angebote sowohl die Kommunikation mit ihren Mitgliedern zu gestalten als auch neue Mitglieder zu gewinnen. Auch das Image der Selbsthilfe wird über die digitalen Angebote ma</w:t>
      </w:r>
      <w:r>
        <w:t>ß</w:t>
      </w:r>
      <w:r>
        <w:t>geblich mitbestimmt.</w:t>
      </w:r>
    </w:p>
    <w:p w:rsidR="00CE17C6" w:rsidRDefault="00CE17C6" w:rsidP="00841EF8">
      <w:pPr>
        <w:spacing w:line="360" w:lineRule="auto"/>
      </w:pPr>
    </w:p>
    <w:p w:rsidR="00CE17C6" w:rsidRDefault="00CE17C6" w:rsidP="00841EF8">
      <w:pPr>
        <w:spacing w:line="360" w:lineRule="auto"/>
      </w:pPr>
      <w:r>
        <w:t>Vor diesem Hintergrund hat die BAG SELBSTHILFE viele Handlungshilfen für Proje</w:t>
      </w:r>
      <w:r>
        <w:t>k</w:t>
      </w:r>
      <w:r>
        <w:t xml:space="preserve">te im Bereich der Digitalisierung zur Verfügung gestellt (z.B. Einsatz von Videos in der Verbandsarbeit). Sie hat überdies eine Kampagne für die Selbsthilfe initiiert: </w:t>
      </w:r>
      <w:hyperlink r:id="rId17" w:history="1">
        <w:r w:rsidRPr="004B17D9">
          <w:rPr>
            <w:rStyle w:val="Hyperlink"/>
          </w:rPr>
          <w:t>https://www.selbsthilfe-wirkt.de/kampagne-social-spot/</w:t>
        </w:r>
      </w:hyperlink>
    </w:p>
    <w:p w:rsidR="00CE17C6" w:rsidRDefault="00CE17C6" w:rsidP="00841EF8">
      <w:pPr>
        <w:spacing w:line="360" w:lineRule="auto"/>
      </w:pPr>
      <w:r>
        <w:t>Auch in anderen Ländern werden die Angebote der Digitalisierung genutzt bzw. entsprechende Angebote an die Mitglie</w:t>
      </w:r>
      <w:r w:rsidR="00841EF8">
        <w:t xml:space="preserve">der herangetragen, so etwa die </w:t>
      </w:r>
      <w:r>
        <w:t>App Rheuma Buddy</w:t>
      </w:r>
      <w:r w:rsidR="00841EF8">
        <w:t xml:space="preserve"> in Österreich. </w:t>
      </w:r>
    </w:p>
    <w:p w:rsidR="00841EF8" w:rsidRDefault="00841EF8" w:rsidP="00841EF8">
      <w:pPr>
        <w:spacing w:line="360" w:lineRule="auto"/>
      </w:pPr>
    </w:p>
    <w:p w:rsidR="00841EF8" w:rsidRDefault="00841EF8" w:rsidP="00841EF8">
      <w:pPr>
        <w:spacing w:line="360" w:lineRule="auto"/>
      </w:pPr>
      <w:r>
        <w:t>Gerade bei Angeboten zur Digitalisierung bietet sich ein intensiver Austausch an; gleichzeitig können digitale Angebote auch genutzt werden (z.B. Skype), um die Zusammenarbeit mit ausländischen Selbsthilfeorganisationen zu verbessern.</w:t>
      </w:r>
    </w:p>
    <w:p w:rsidR="00AA16FE" w:rsidRDefault="00AA16FE" w:rsidP="00FD4D36"/>
    <w:p w:rsidR="0036506C" w:rsidRDefault="0036506C" w:rsidP="00FD4D36">
      <w:r>
        <w:t>Übereinstimmung besteht allgemein, dass die Daten von Mitgliedern und Selbsthi</w:t>
      </w:r>
      <w:r>
        <w:t>l</w:t>
      </w:r>
      <w:r>
        <w:t>feaktiven umfassend geschützt werden müssen. Auch insoweit bietet sich ein Austausch über die Strategien zum Umgang mit Datenschutz und DSGVO im digit</w:t>
      </w:r>
      <w:r>
        <w:t>a</w:t>
      </w:r>
      <w:r>
        <w:t>len Bereich an.</w:t>
      </w:r>
    </w:p>
    <w:p w:rsidR="0036506C" w:rsidRDefault="0036506C" w:rsidP="00FD4D36"/>
    <w:p w:rsidR="00AA16FE" w:rsidRPr="00DB1B23" w:rsidRDefault="00AA16FE" w:rsidP="00AA16FE">
      <w:pPr>
        <w:pStyle w:val="Listenabsatz"/>
        <w:numPr>
          <w:ilvl w:val="0"/>
          <w:numId w:val="20"/>
        </w:numPr>
        <w:rPr>
          <w:b/>
        </w:rPr>
      </w:pPr>
      <w:r w:rsidRPr="00DB1B23">
        <w:rPr>
          <w:b/>
        </w:rPr>
        <w:t>Psychische Gesundheit, Resilienz</w:t>
      </w:r>
    </w:p>
    <w:p w:rsidR="00947EEB" w:rsidRPr="00947EEB" w:rsidRDefault="00947EEB" w:rsidP="00A64E59">
      <w:pPr>
        <w:spacing w:before="100" w:beforeAutospacing="1" w:after="100" w:afterAutospacing="1" w:line="360" w:lineRule="auto"/>
      </w:pPr>
      <w:r w:rsidRPr="00947EEB">
        <w:t>In der psychosomatischen Medizin sind in den letzten Jahren Einschränkungen der Lebensqualität und psychische Komorbiditäten bei chronischen körperlichen Erkrankungen systematisch untersucht worden. Eine reduzierte körperliche Lei</w:t>
      </w:r>
      <w:r w:rsidRPr="00947EEB">
        <w:t>s</w:t>
      </w:r>
      <w:r w:rsidRPr="00947EEB">
        <w:t xml:space="preserve">tungsfähigkeit und die Verletzung der körperlichen Integrität sind erhebliche </w:t>
      </w:r>
      <w:r w:rsidRPr="00947EEB">
        <w:lastRenderedPageBreak/>
        <w:t>Veränderungen, die mit einer chronischen körperlichen Erkrankung einhergehen können und bewältigt werden müssen. Auch kann eine subjektiv empfundene oder objektiv beschreibbare Lebensbedrohung eine erhebliche Belastung für diese Patientinnen und Patienten darstellen. Schmerzen können erheblich beeinträcht</w:t>
      </w:r>
      <w:r w:rsidRPr="00947EEB">
        <w:t>i</w:t>
      </w:r>
      <w:r w:rsidRPr="00947EEB">
        <w:t>gen und aversiv erlebte therapeutische Maßnahmen können z.T. auch wiederholt und regelmäßig erforderlich sein. Neben den unmittelbar indizierten medizinischen Maßnahmen wird nicht selten eine Abhängigkeit vom medizinischen System insg</w:t>
      </w:r>
      <w:r w:rsidRPr="00947EEB">
        <w:t>e</w:t>
      </w:r>
      <w:r w:rsidRPr="00947EEB">
        <w:t>samt erlebt, Hilflosigkeit kann auftreten, persönlich bedeutsame Werte und Rollen können wegfallen und das Selbstbild insgesamt bedroht werden.</w:t>
      </w:r>
    </w:p>
    <w:p w:rsidR="00947EEB" w:rsidRPr="00947EEB" w:rsidRDefault="00947EEB" w:rsidP="00A64E59">
      <w:pPr>
        <w:spacing w:before="100" w:beforeAutospacing="1" w:after="100" w:afterAutospacing="1" w:line="360" w:lineRule="auto"/>
      </w:pPr>
      <w:r w:rsidRPr="00947EEB">
        <w:t>Dies alles birgt das Risiko möglicher depressiver Störungen als Folgeerkrankung in sich.</w:t>
      </w:r>
    </w:p>
    <w:p w:rsidR="00947EEB" w:rsidRPr="00947EEB" w:rsidRDefault="00947EEB" w:rsidP="00A64E59">
      <w:pPr>
        <w:spacing w:before="100" w:beforeAutospacing="1" w:after="100" w:afterAutospacing="1" w:line="360" w:lineRule="auto"/>
      </w:pPr>
      <w:r w:rsidRPr="00947EEB">
        <w:t>Der Austausch in der Selbsthilfe bietet eine hervorragende Möglichkeit, um diese Problematik gezielt bei chronisch kranken Menschen zu thematisieren und so einen wichtigen Beitrag zur Früherkennung depressiver Störungen zu leisten sowie auf mögliche therapeutische Maßnahmen hinzuweisen.</w:t>
      </w:r>
      <w:r w:rsidR="00A64E59" w:rsidRPr="00A64E59">
        <w:t xml:space="preserve"> Hierzu hat die BAG SELBSTHILFE einen entsprechenden Handlungsleitfaden entwickelt, der unter  folgendem Link zur Verfügung steht: </w:t>
      </w:r>
      <w:hyperlink r:id="rId18" w:history="1">
        <w:r w:rsidR="00A64E59" w:rsidRPr="00A64E59">
          <w:rPr>
            <w:rStyle w:val="Hyperlink"/>
          </w:rPr>
          <w:t>https://www.bag-selbsthilfe.de/informationsportal-selbsthilfe-aktive/projekte/potentiale-der-selbsthilfe-bei-der-frueherkennung-und-behandlung-depressiver-stoerungen-bei-menschen-mit-chronischer-erkrankung/</w:t>
        </w:r>
      </w:hyperlink>
      <w:r w:rsidR="00A64E59" w:rsidRPr="00A64E59">
        <w:t xml:space="preserve"> </w:t>
      </w:r>
    </w:p>
    <w:p w:rsidR="00841EF8" w:rsidRPr="00A64E59" w:rsidRDefault="00A64E59" w:rsidP="00A64E59">
      <w:pPr>
        <w:spacing w:line="360" w:lineRule="auto"/>
        <w:jc w:val="both"/>
      </w:pPr>
      <w:r w:rsidRPr="00A64E59">
        <w:t xml:space="preserve">Auch das Konzept der Resilienz kann hier weiterhelfen: </w:t>
      </w:r>
      <w:r w:rsidR="00947EEB" w:rsidRPr="00A64E59">
        <w:t>Wissenschaftliche Erkenn</w:t>
      </w:r>
      <w:r w:rsidR="00947EEB" w:rsidRPr="00A64E59">
        <w:t>t</w:t>
      </w:r>
      <w:r w:rsidR="00947EEB" w:rsidRPr="00A64E59">
        <w:t>nisse legen nahe, dass die Ausprägung von Schutzfaktoren wie Optimismus, Selbs</w:t>
      </w:r>
      <w:r w:rsidR="00947EEB" w:rsidRPr="00A64E59">
        <w:t>t</w:t>
      </w:r>
      <w:r w:rsidR="00947EEB" w:rsidRPr="00A64E59">
        <w:t>wirksamkeitserwartung, angemessene Bewältigungsstrategien und soziale Unte</w:t>
      </w:r>
      <w:r w:rsidR="00947EEB" w:rsidRPr="00A64E59">
        <w:t>r</w:t>
      </w:r>
      <w:r w:rsidR="00947EEB" w:rsidRPr="00A64E59">
        <w:t xml:space="preserve">stützung eine wichtige Funktion zur Bewältigung von Krankheiten haben. Seit jeher befasst sich die Selbsthilfe mit genau diesen Faktoren; gleichzeitig haben bisher nur einige wenige Selbsthilfeorganisationen tragfähige Konzepte, um die sog. Resilienz ihrer Mitglieder und die der zu Beratenden zu stärken. Vor diesem Hintergrund hat die BAG SELBSTHILFE die wissenschaftlichen Erkenntnisse zum </w:t>
      </w:r>
      <w:r w:rsidR="00947EEB" w:rsidRPr="00A64E59">
        <w:lastRenderedPageBreak/>
        <w:t>Thema Resilienz zusammengetragen und den Verbänden eine Art Baukasten für die Diskussion des Themas zur Verfügung gestellt.</w:t>
      </w:r>
    </w:p>
    <w:p w:rsidR="00947EEB" w:rsidRPr="00A64E59" w:rsidRDefault="00947EEB" w:rsidP="00A64E59">
      <w:pPr>
        <w:spacing w:line="360" w:lineRule="auto"/>
        <w:jc w:val="both"/>
      </w:pPr>
    </w:p>
    <w:p w:rsidR="00947EEB" w:rsidRPr="00A64E59" w:rsidRDefault="00947EEB" w:rsidP="00A64E59">
      <w:pPr>
        <w:spacing w:line="360" w:lineRule="auto"/>
        <w:jc w:val="both"/>
      </w:pPr>
      <w:r w:rsidRPr="00A64E59">
        <w:t>Viele Elemente, die die Selbsthilfe in allen Ländern in Seminaren und Unterstü</w:t>
      </w:r>
      <w:r w:rsidRPr="00A64E59">
        <w:t>t</w:t>
      </w:r>
      <w:r w:rsidRPr="00A64E59">
        <w:t>zungsangeboten bereits behandelt, können in dieses Konzept integriert werden. Gleichzeitig bietet das Konzept jedoch auch Chancen, neue Aspekte durch eine Verknüpfung mit aktuellen Problembewältigungsstrategien (z.B. Bullet Journal) zu integrieren und daraus neue Inhalte</w:t>
      </w:r>
      <w:r w:rsidR="00013D8C">
        <w:t xml:space="preserve"> oder individuell zugeschnittene Konzepte</w:t>
      </w:r>
      <w:r w:rsidRPr="00A64E59">
        <w:t xml:space="preserve"> zu entwickeln. Das Projekt wird auf der Homepage der BAG SELBSTHIFLE zur Verf</w:t>
      </w:r>
      <w:r w:rsidRPr="00A64E59">
        <w:t>ü</w:t>
      </w:r>
      <w:r w:rsidRPr="00A64E59">
        <w:t>gung gestellt werden.</w:t>
      </w:r>
    </w:p>
    <w:p w:rsidR="00947EEB" w:rsidRPr="00A64E59" w:rsidRDefault="00947EEB" w:rsidP="00A64E59">
      <w:pPr>
        <w:spacing w:line="360" w:lineRule="auto"/>
        <w:jc w:val="both"/>
      </w:pPr>
    </w:p>
    <w:p w:rsidR="00AA16FE" w:rsidRDefault="00F361CE" w:rsidP="00AA16FE">
      <w:pPr>
        <w:pStyle w:val="Listenabsatz"/>
        <w:numPr>
          <w:ilvl w:val="0"/>
          <w:numId w:val="20"/>
        </w:numPr>
        <w:rPr>
          <w:b/>
        </w:rPr>
      </w:pPr>
      <w:r>
        <w:rPr>
          <w:b/>
        </w:rPr>
        <w:t>Grenzüberschreitende Kontakte</w:t>
      </w:r>
    </w:p>
    <w:p w:rsidR="00F361CE" w:rsidRDefault="00F361CE" w:rsidP="00F361CE">
      <w:pPr>
        <w:rPr>
          <w:b/>
        </w:rPr>
      </w:pPr>
    </w:p>
    <w:p w:rsidR="00F361CE" w:rsidRPr="00831EE8" w:rsidRDefault="00F361CE" w:rsidP="00081AEB">
      <w:pPr>
        <w:spacing w:line="360" w:lineRule="auto"/>
      </w:pPr>
      <w:r w:rsidRPr="00831EE8">
        <w:t xml:space="preserve">Selbsthilfeorganisationen können auch von engen persönlichen Kontakten von Vertretern in Grenzregionen profitieren. Gerade hier bietet sich die Möglichkeit eines fortlaufenden – z.B. monatlichen Austausches – zu unterschiedlichsten Fragestellungen. Insoweit wird gerade für Selbsthilfeorganisationen und -gruppen in der Nähe von Grenzen die Möglichkeit gesehen, Austauschtreffen zu organisieren, um so – auch durchaus über den persönlichen Kontakt- </w:t>
      </w:r>
      <w:r w:rsidR="00831EE8" w:rsidRPr="00831EE8">
        <w:t>eine Basis für eine dauerha</w:t>
      </w:r>
      <w:r w:rsidR="00831EE8" w:rsidRPr="00831EE8">
        <w:t>f</w:t>
      </w:r>
      <w:r w:rsidR="00831EE8" w:rsidRPr="00831EE8">
        <w:t>te und belastbare Zusammenarbeit zu haben.</w:t>
      </w:r>
    </w:p>
    <w:p w:rsidR="00AA16FE" w:rsidRDefault="00AA16FE" w:rsidP="00081AEB">
      <w:pPr>
        <w:spacing w:line="360" w:lineRule="auto"/>
        <w:rPr>
          <w:b/>
        </w:rPr>
      </w:pPr>
    </w:p>
    <w:p w:rsidR="00A64E59" w:rsidRDefault="00A64E59" w:rsidP="00AA16FE">
      <w:pPr>
        <w:rPr>
          <w:b/>
        </w:rPr>
      </w:pPr>
      <w:bookmarkStart w:id="0" w:name="_GoBack"/>
      <w:bookmarkEnd w:id="0"/>
    </w:p>
    <w:p w:rsidR="00A64E59" w:rsidRPr="00A64E59" w:rsidRDefault="00A64E59" w:rsidP="00AA16FE">
      <w:pPr>
        <w:rPr>
          <w:b/>
        </w:rPr>
      </w:pPr>
    </w:p>
    <w:p w:rsidR="00AA16FE" w:rsidRDefault="00AA16FE" w:rsidP="00AA16FE">
      <w:pPr>
        <w:pStyle w:val="Listenabsatz"/>
      </w:pPr>
    </w:p>
    <w:p w:rsidR="00693817" w:rsidRDefault="00693817" w:rsidP="00FF32B9"/>
    <w:p w:rsidR="00FF32B9" w:rsidRDefault="00FF32B9" w:rsidP="00FF32B9"/>
    <w:p w:rsidR="00FF32B9" w:rsidRPr="00FF32B9" w:rsidRDefault="00FF32B9" w:rsidP="00FF32B9"/>
    <w:sectPr w:rsidR="00FF32B9" w:rsidRPr="00FF32B9">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BC" w:rsidRDefault="009731BC" w:rsidP="00BD067A">
      <w:pPr>
        <w:spacing w:line="240" w:lineRule="auto"/>
      </w:pPr>
      <w:r>
        <w:separator/>
      </w:r>
    </w:p>
  </w:endnote>
  <w:endnote w:type="continuationSeparator" w:id="0">
    <w:p w:rsidR="009731BC" w:rsidRDefault="009731BC" w:rsidP="00BD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7205"/>
      <w:docPartObj>
        <w:docPartGallery w:val="Page Numbers (Bottom of Page)"/>
        <w:docPartUnique/>
      </w:docPartObj>
    </w:sdtPr>
    <w:sdtEndPr/>
    <w:sdtContent>
      <w:p w:rsidR="00BB0DEB" w:rsidRDefault="00BB0DEB">
        <w:pPr>
          <w:pStyle w:val="Fuzeile"/>
          <w:jc w:val="right"/>
        </w:pPr>
        <w:r>
          <w:fldChar w:fldCharType="begin"/>
        </w:r>
        <w:r>
          <w:instrText>PAGE   \* MERGEFORMAT</w:instrText>
        </w:r>
        <w:r>
          <w:fldChar w:fldCharType="separate"/>
        </w:r>
        <w:r w:rsidR="0002308A">
          <w:rPr>
            <w:noProof/>
          </w:rPr>
          <w:t>26</w:t>
        </w:r>
        <w:r>
          <w:fldChar w:fldCharType="end"/>
        </w:r>
      </w:p>
    </w:sdtContent>
  </w:sdt>
  <w:p w:rsidR="00BB0DEB" w:rsidRDefault="00BB0D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BC" w:rsidRDefault="009731BC" w:rsidP="00BD067A">
      <w:pPr>
        <w:spacing w:line="240" w:lineRule="auto"/>
      </w:pPr>
      <w:r>
        <w:separator/>
      </w:r>
    </w:p>
  </w:footnote>
  <w:footnote w:type="continuationSeparator" w:id="0">
    <w:p w:rsidR="009731BC" w:rsidRDefault="009731BC" w:rsidP="00BD067A">
      <w:pPr>
        <w:spacing w:line="240" w:lineRule="auto"/>
      </w:pPr>
      <w:r>
        <w:continuationSeparator/>
      </w:r>
    </w:p>
  </w:footnote>
  <w:footnote w:id="1">
    <w:p w:rsidR="00BB0DEB" w:rsidRDefault="00BB0DEB">
      <w:pPr>
        <w:pStyle w:val="Funotentext"/>
      </w:pPr>
      <w:r>
        <w:rPr>
          <w:rStyle w:val="Funotenzeichen"/>
        </w:rPr>
        <w:footnoteRef/>
      </w:r>
      <w:r>
        <w:t xml:space="preserve"> Nowack, Ladurner, Juraszovich, Hofmacher: Die österreichische Gesundheits- und Pflegepolitik. Herausforderungen und Handlungsspielräume. Forum Politische Bildung 34:22-29.</w:t>
      </w:r>
    </w:p>
  </w:footnote>
  <w:footnote w:id="2">
    <w:p w:rsidR="00BB0DEB" w:rsidRDefault="00BB0DEB">
      <w:pPr>
        <w:pStyle w:val="Funotentext"/>
      </w:pPr>
      <w:r>
        <w:rPr>
          <w:rStyle w:val="Funotenzeichen"/>
        </w:rPr>
        <w:footnoteRef/>
      </w:r>
      <w:r>
        <w:t xml:space="preserve"> Auf Empfehlung der Eidgenössischen Arzneimittelkommission (EAK)</w:t>
      </w:r>
    </w:p>
  </w:footnote>
  <w:footnote w:id="3">
    <w:p w:rsidR="00BB0DEB" w:rsidRDefault="00BB0DEB">
      <w:pPr>
        <w:pStyle w:val="Funotentext"/>
      </w:pPr>
      <w:r>
        <w:rPr>
          <w:rStyle w:val="Funotenzeichen"/>
        </w:rPr>
        <w:footnoteRef/>
      </w:r>
      <w:r>
        <w:t xml:space="preserve"> Darstellung in Forster, Rojatz: Gemeinschaftliche Selbsthilfe und Patientenbeteiligung: aktuelle Entwicklungen in Österreich. Bundesgesetzblatt 2019 (1), S. 56 ff. Die nachfolgenden Ausführungen sind den entsprechenden Ausführungen entnommen.</w:t>
      </w:r>
    </w:p>
  </w:footnote>
  <w:footnote w:id="4">
    <w:p w:rsidR="00BB0DEB" w:rsidRDefault="00BB0DEB">
      <w:pPr>
        <w:pStyle w:val="Funotentext"/>
      </w:pPr>
      <w:r>
        <w:rPr>
          <w:rStyle w:val="Funotenzeichen"/>
        </w:rPr>
        <w:footnoteRef/>
      </w:r>
      <w:r>
        <w:t xml:space="preserve"> Stremlow, Selbsthilfe Schweiz, Gemeinschaftliche Selbsthilfe in der Schweiz zit: </w:t>
      </w:r>
      <w:hyperlink r:id="rId1" w:history="1">
        <w:r w:rsidRPr="00C11E83">
          <w:rPr>
            <w:rStyle w:val="Hyperlink"/>
          </w:rPr>
          <w:t>https://www.lungenliga.ch/fileadmin/user_upload/LLS/02_HauptNavigation/03_BeratungBetreuung/Selbsthilfe/Broschuere_Studie_Handlungsempfehlungen_DE.pdf</w:t>
        </w:r>
      </w:hyperlink>
    </w:p>
    <w:p w:rsidR="00BB0DEB" w:rsidRDefault="00BB0DEB">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EB" w:rsidRDefault="00794B46">
    <w:pPr>
      <w:pStyle w:val="Kopfzeile"/>
    </w:pPr>
    <w:r w:rsidRPr="00794B46">
      <w:rPr>
        <w:noProof/>
      </w:rPr>
      <w:drawing>
        <wp:anchor distT="0" distB="0" distL="114300" distR="114300" simplePos="0" relativeHeight="251659264" behindDoc="0" locked="0" layoutInCell="1" allowOverlap="1" wp14:anchorId="6DF57F27" wp14:editId="7E1BF2AD">
          <wp:simplePos x="0" y="0"/>
          <wp:positionH relativeFrom="column">
            <wp:posOffset>3067050</wp:posOffset>
          </wp:positionH>
          <wp:positionV relativeFrom="paragraph">
            <wp:posOffset>635</wp:posOffset>
          </wp:positionV>
          <wp:extent cx="2712085" cy="1296035"/>
          <wp:effectExtent l="0" t="0" r="0" b="0"/>
          <wp:wrapNone/>
          <wp:docPr id="5" name="Grafik 4" descr="C:\Users\bboehm\Downloads\bkk_dachverband-logo.jpg"/>
          <wp:cNvGraphicFramePr/>
          <a:graphic xmlns:a="http://schemas.openxmlformats.org/drawingml/2006/main">
            <a:graphicData uri="http://schemas.openxmlformats.org/drawingml/2006/picture">
              <pic:pic xmlns:pic="http://schemas.openxmlformats.org/drawingml/2006/picture">
                <pic:nvPicPr>
                  <pic:cNvPr id="5" name="Grafik 4" descr="C:\Users\bboehm\Downloads\bkk_dachverband-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085" cy="1296035"/>
                  </a:xfrm>
                  <a:prstGeom prst="rect">
                    <a:avLst/>
                  </a:prstGeom>
                  <a:noFill/>
                  <a:ln>
                    <a:noFill/>
                  </a:ln>
                </pic:spPr>
              </pic:pic>
            </a:graphicData>
          </a:graphic>
        </wp:anchor>
      </w:drawing>
    </w:r>
    <w:r w:rsidRPr="00794B46">
      <w:rPr>
        <w:noProof/>
      </w:rPr>
      <mc:AlternateContent>
        <mc:Choice Requires="wps">
          <w:drawing>
            <wp:anchor distT="0" distB="0" distL="114300" distR="114300" simplePos="0" relativeHeight="251660288" behindDoc="0" locked="0" layoutInCell="1" allowOverlap="1" wp14:anchorId="1167710C" wp14:editId="48688CFC">
              <wp:simplePos x="0" y="0"/>
              <wp:positionH relativeFrom="column">
                <wp:posOffset>1406525</wp:posOffset>
              </wp:positionH>
              <wp:positionV relativeFrom="paragraph">
                <wp:posOffset>844781</wp:posOffset>
              </wp:positionV>
              <wp:extent cx="1799590" cy="368935"/>
              <wp:effectExtent l="0" t="0" r="0" b="0"/>
              <wp:wrapNone/>
              <wp:docPr id="4" name="Textfeld 2"/>
              <wp:cNvGraphicFramePr/>
              <a:graphic xmlns:a="http://schemas.openxmlformats.org/drawingml/2006/main">
                <a:graphicData uri="http://schemas.microsoft.com/office/word/2010/wordprocessingShape">
                  <wps:wsp>
                    <wps:cNvSpPr txBox="1"/>
                    <wps:spPr>
                      <a:xfrm>
                        <a:off x="0" y="0"/>
                        <a:ext cx="1799590" cy="368935"/>
                      </a:xfrm>
                      <a:prstGeom prst="rect">
                        <a:avLst/>
                      </a:prstGeom>
                      <a:noFill/>
                    </wps:spPr>
                    <wps:txbx>
                      <w:txbxContent>
                        <w:p w:rsidR="00794B46" w:rsidRDefault="00794B46" w:rsidP="00794B46">
                          <w:pPr>
                            <w:pStyle w:val="StandardWeb"/>
                            <w:spacing w:before="0" w:beforeAutospacing="0" w:after="0" w:afterAutospacing="0"/>
                            <w:textAlignment w:val="baseline"/>
                          </w:pPr>
                          <w:r>
                            <w:rPr>
                              <w:rFonts w:ascii="Arial" w:hAnsi="Arial" w:cstheme="minorBidi"/>
                              <w:color w:val="000000" w:themeColor="text1"/>
                              <w:kern w:val="24"/>
                            </w:rPr>
                            <w:t>Gefördert durch</w:t>
                          </w:r>
                        </w:p>
                      </w:txbxContent>
                    </wps:txbx>
                    <wps:bodyPr wrap="square" rtlCol="0" anchor="ctr">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10.75pt;margin-top:66.5pt;width:141.7pt;height:2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" filled="f" stroked="f">
              <v:textbox style="mso-fit-shape-to-text:t">
                <w:txbxContent>
                  <w:p w:rsidR="00794B46" w:rsidRDefault="00794B46" w:rsidP="00794B46">
                    <w:pPr>
                      <w:pStyle w:val="StandardWeb"/>
                      <w:spacing w:before="0" w:beforeAutospacing="0" w:after="0" w:afterAutospacing="0"/>
                      <w:textAlignment w:val="baseline"/>
                    </w:pPr>
                    <w:r>
                      <w:rPr>
                        <w:rFonts w:ascii="Arial" w:hAnsi="Arial" w:cstheme="minorBidi"/>
                        <w:color w:val="000000" w:themeColor="text1"/>
                        <w:kern w:val="24"/>
                      </w:rPr>
                      <w:t>Gefördert durch</w:t>
                    </w:r>
                  </w:p>
                </w:txbxContent>
              </v:textbox>
            </v:shape>
          </w:pict>
        </mc:Fallback>
      </mc:AlternateContent>
    </w:r>
    <w:r w:rsidR="00BB0DEB">
      <w:rPr>
        <w:noProof/>
      </w:rPr>
      <w:drawing>
        <wp:inline distT="0" distB="0" distL="0" distR="0" wp14:anchorId="7ACF4FB2" wp14:editId="7E3165B5">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r w:rsidRPr="00794B46">
      <w:rPr>
        <w:noProof/>
      </w:rPr>
      <w:t xml:space="preserve"> </w:t>
    </w:r>
  </w:p>
  <w:p w:rsidR="00BB0DEB" w:rsidRDefault="00BB0DEB">
    <w:pPr>
      <w:pStyle w:val="Kopfzeile"/>
    </w:pPr>
  </w:p>
  <w:p w:rsidR="00BB0DEB" w:rsidRDefault="00BB0D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F08"/>
    <w:multiLevelType w:val="hybridMultilevel"/>
    <w:tmpl w:val="844CC9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D54791"/>
    <w:multiLevelType w:val="hybridMultilevel"/>
    <w:tmpl w:val="77E4C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88287C"/>
    <w:multiLevelType w:val="hybridMultilevel"/>
    <w:tmpl w:val="DCDA30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98F32C3"/>
    <w:multiLevelType w:val="hybridMultilevel"/>
    <w:tmpl w:val="2D881382"/>
    <w:lvl w:ilvl="0" w:tplc="80D61A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8A2440"/>
    <w:multiLevelType w:val="multilevel"/>
    <w:tmpl w:val="C34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A5BA3"/>
    <w:multiLevelType w:val="multilevel"/>
    <w:tmpl w:val="9E0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917D0"/>
    <w:multiLevelType w:val="multilevel"/>
    <w:tmpl w:val="590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B13A3"/>
    <w:multiLevelType w:val="hybridMultilevel"/>
    <w:tmpl w:val="E2428E4E"/>
    <w:lvl w:ilvl="0" w:tplc="3E161B2C">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400D788D"/>
    <w:multiLevelType w:val="hybridMultilevel"/>
    <w:tmpl w:val="9FAC0F3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6D93B86"/>
    <w:multiLevelType w:val="hybridMultilevel"/>
    <w:tmpl w:val="F90CEC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7010E5"/>
    <w:multiLevelType w:val="hybridMultilevel"/>
    <w:tmpl w:val="5246E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942D6F"/>
    <w:multiLevelType w:val="hybridMultilevel"/>
    <w:tmpl w:val="0CEE6A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7B91D42"/>
    <w:multiLevelType w:val="hybridMultilevel"/>
    <w:tmpl w:val="ED1CF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C044C98"/>
    <w:multiLevelType w:val="hybridMultilevel"/>
    <w:tmpl w:val="4E847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C5E43E9"/>
    <w:multiLevelType w:val="hybridMultilevel"/>
    <w:tmpl w:val="90DAA458"/>
    <w:lvl w:ilvl="0" w:tplc="D3561A84">
      <w:start w:val="2"/>
      <w:numFmt w:val="bullet"/>
      <w:lvlText w:val="-"/>
      <w:lvlJc w:val="left"/>
      <w:pPr>
        <w:ind w:left="2055" w:hanging="360"/>
      </w:pPr>
      <w:rPr>
        <w:rFonts w:ascii="Trebuchet MS" w:eastAsiaTheme="minorHAnsi" w:hAnsi="Trebuchet MS" w:cstheme="minorBidi"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15">
    <w:nsid w:val="5FCA0994"/>
    <w:multiLevelType w:val="hybridMultilevel"/>
    <w:tmpl w:val="AA12F8A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95A743C"/>
    <w:multiLevelType w:val="hybridMultilevel"/>
    <w:tmpl w:val="D2CC77FA"/>
    <w:lvl w:ilvl="0" w:tplc="04070001">
      <w:start w:val="1"/>
      <w:numFmt w:val="bullet"/>
      <w:lvlText w:val=""/>
      <w:lvlJc w:val="left"/>
      <w:pPr>
        <w:ind w:left="788" w:hanging="360"/>
      </w:pPr>
      <w:rPr>
        <w:rFonts w:ascii="Symbol" w:hAnsi="Symbol" w:hint="default"/>
      </w:rPr>
    </w:lvl>
    <w:lvl w:ilvl="1" w:tplc="04070003">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7">
    <w:nsid w:val="6B3D5FC0"/>
    <w:multiLevelType w:val="hybridMultilevel"/>
    <w:tmpl w:val="11A40F7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nsid w:val="6C0953A9"/>
    <w:multiLevelType w:val="multilevel"/>
    <w:tmpl w:val="6EF6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AB2BFB"/>
    <w:multiLevelType w:val="hybridMultilevel"/>
    <w:tmpl w:val="17AC7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E102B3C"/>
    <w:multiLevelType w:val="hybridMultilevel"/>
    <w:tmpl w:val="CA967D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74622E81"/>
    <w:multiLevelType w:val="hybridMultilevel"/>
    <w:tmpl w:val="726E8590"/>
    <w:lvl w:ilvl="0" w:tplc="04070011">
      <w:start w:val="1"/>
      <w:numFmt w:val="decimal"/>
      <w:lvlText w:val="%1)"/>
      <w:lvlJc w:val="left"/>
      <w:pPr>
        <w:ind w:left="1508" w:hanging="360"/>
      </w:pPr>
    </w:lvl>
    <w:lvl w:ilvl="1" w:tplc="04070019" w:tentative="1">
      <w:start w:val="1"/>
      <w:numFmt w:val="lowerLetter"/>
      <w:lvlText w:val="%2."/>
      <w:lvlJc w:val="left"/>
      <w:pPr>
        <w:ind w:left="2228" w:hanging="360"/>
      </w:pPr>
    </w:lvl>
    <w:lvl w:ilvl="2" w:tplc="0407001B" w:tentative="1">
      <w:start w:val="1"/>
      <w:numFmt w:val="lowerRoman"/>
      <w:lvlText w:val="%3."/>
      <w:lvlJc w:val="right"/>
      <w:pPr>
        <w:ind w:left="2948" w:hanging="180"/>
      </w:pPr>
    </w:lvl>
    <w:lvl w:ilvl="3" w:tplc="0407000F" w:tentative="1">
      <w:start w:val="1"/>
      <w:numFmt w:val="decimal"/>
      <w:lvlText w:val="%4."/>
      <w:lvlJc w:val="left"/>
      <w:pPr>
        <w:ind w:left="3668" w:hanging="360"/>
      </w:pPr>
    </w:lvl>
    <w:lvl w:ilvl="4" w:tplc="04070019" w:tentative="1">
      <w:start w:val="1"/>
      <w:numFmt w:val="lowerLetter"/>
      <w:lvlText w:val="%5."/>
      <w:lvlJc w:val="left"/>
      <w:pPr>
        <w:ind w:left="4388" w:hanging="360"/>
      </w:pPr>
    </w:lvl>
    <w:lvl w:ilvl="5" w:tplc="0407001B" w:tentative="1">
      <w:start w:val="1"/>
      <w:numFmt w:val="lowerRoman"/>
      <w:lvlText w:val="%6."/>
      <w:lvlJc w:val="right"/>
      <w:pPr>
        <w:ind w:left="5108" w:hanging="180"/>
      </w:pPr>
    </w:lvl>
    <w:lvl w:ilvl="6" w:tplc="0407000F" w:tentative="1">
      <w:start w:val="1"/>
      <w:numFmt w:val="decimal"/>
      <w:lvlText w:val="%7."/>
      <w:lvlJc w:val="left"/>
      <w:pPr>
        <w:ind w:left="5828" w:hanging="360"/>
      </w:pPr>
    </w:lvl>
    <w:lvl w:ilvl="7" w:tplc="04070019" w:tentative="1">
      <w:start w:val="1"/>
      <w:numFmt w:val="lowerLetter"/>
      <w:lvlText w:val="%8."/>
      <w:lvlJc w:val="left"/>
      <w:pPr>
        <w:ind w:left="6548" w:hanging="360"/>
      </w:pPr>
    </w:lvl>
    <w:lvl w:ilvl="8" w:tplc="0407001B" w:tentative="1">
      <w:start w:val="1"/>
      <w:numFmt w:val="lowerRoman"/>
      <w:lvlText w:val="%9."/>
      <w:lvlJc w:val="right"/>
      <w:pPr>
        <w:ind w:left="7268" w:hanging="180"/>
      </w:pPr>
    </w:lvl>
  </w:abstractNum>
  <w:abstractNum w:abstractNumId="22">
    <w:nsid w:val="761300DA"/>
    <w:multiLevelType w:val="hybridMultilevel"/>
    <w:tmpl w:val="ACAA81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0"/>
  </w:num>
  <w:num w:numId="3">
    <w:abstractNumId w:val="1"/>
  </w:num>
  <w:num w:numId="4">
    <w:abstractNumId w:val="13"/>
  </w:num>
  <w:num w:numId="5">
    <w:abstractNumId w:val="15"/>
  </w:num>
  <w:num w:numId="6">
    <w:abstractNumId w:val="17"/>
  </w:num>
  <w:num w:numId="7">
    <w:abstractNumId w:val="14"/>
  </w:num>
  <w:num w:numId="8">
    <w:abstractNumId w:val="2"/>
  </w:num>
  <w:num w:numId="9">
    <w:abstractNumId w:val="16"/>
  </w:num>
  <w:num w:numId="10">
    <w:abstractNumId w:val="21"/>
  </w:num>
  <w:num w:numId="11">
    <w:abstractNumId w:val="11"/>
  </w:num>
  <w:num w:numId="12">
    <w:abstractNumId w:val="0"/>
  </w:num>
  <w:num w:numId="13">
    <w:abstractNumId w:val="12"/>
  </w:num>
  <w:num w:numId="14">
    <w:abstractNumId w:val="3"/>
  </w:num>
  <w:num w:numId="15">
    <w:abstractNumId w:val="7"/>
  </w:num>
  <w:num w:numId="16">
    <w:abstractNumId w:val="19"/>
  </w:num>
  <w:num w:numId="17">
    <w:abstractNumId w:val="22"/>
  </w:num>
  <w:num w:numId="18">
    <w:abstractNumId w:val="18"/>
  </w:num>
  <w:num w:numId="19">
    <w:abstractNumId w:val="10"/>
  </w:num>
  <w:num w:numId="20">
    <w:abstractNumId w:val="9"/>
  </w:num>
  <w:num w:numId="21">
    <w:abstractNumId w:val="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CB"/>
    <w:rsid w:val="000002DA"/>
    <w:rsid w:val="00005F3C"/>
    <w:rsid w:val="00013D8C"/>
    <w:rsid w:val="00022191"/>
    <w:rsid w:val="00022723"/>
    <w:rsid w:val="0002308A"/>
    <w:rsid w:val="00031E75"/>
    <w:rsid w:val="00032C6D"/>
    <w:rsid w:val="000713D4"/>
    <w:rsid w:val="00081AEB"/>
    <w:rsid w:val="000969C9"/>
    <w:rsid w:val="000D2194"/>
    <w:rsid w:val="000E4163"/>
    <w:rsid w:val="000E4F12"/>
    <w:rsid w:val="00120931"/>
    <w:rsid w:val="0012093B"/>
    <w:rsid w:val="00120DC3"/>
    <w:rsid w:val="00126785"/>
    <w:rsid w:val="00157100"/>
    <w:rsid w:val="00184FF7"/>
    <w:rsid w:val="001A0C2E"/>
    <w:rsid w:val="001B3920"/>
    <w:rsid w:val="001C219B"/>
    <w:rsid w:val="001E6DE5"/>
    <w:rsid w:val="00215364"/>
    <w:rsid w:val="00225D81"/>
    <w:rsid w:val="00235F6D"/>
    <w:rsid w:val="002C5DE7"/>
    <w:rsid w:val="00327F19"/>
    <w:rsid w:val="00331CAC"/>
    <w:rsid w:val="00332D5B"/>
    <w:rsid w:val="00334FA2"/>
    <w:rsid w:val="00353604"/>
    <w:rsid w:val="0036506C"/>
    <w:rsid w:val="00372AB4"/>
    <w:rsid w:val="00384D43"/>
    <w:rsid w:val="003B70F0"/>
    <w:rsid w:val="003C5C91"/>
    <w:rsid w:val="003D3726"/>
    <w:rsid w:val="003E1CC5"/>
    <w:rsid w:val="00412703"/>
    <w:rsid w:val="00440504"/>
    <w:rsid w:val="00454996"/>
    <w:rsid w:val="0046412E"/>
    <w:rsid w:val="00484BDE"/>
    <w:rsid w:val="00486605"/>
    <w:rsid w:val="00492C68"/>
    <w:rsid w:val="004A082F"/>
    <w:rsid w:val="004B2ADA"/>
    <w:rsid w:val="004B608A"/>
    <w:rsid w:val="004C39AE"/>
    <w:rsid w:val="004F24F3"/>
    <w:rsid w:val="00506726"/>
    <w:rsid w:val="00527295"/>
    <w:rsid w:val="00533769"/>
    <w:rsid w:val="00535CBF"/>
    <w:rsid w:val="00540DB0"/>
    <w:rsid w:val="00544B53"/>
    <w:rsid w:val="00547138"/>
    <w:rsid w:val="00552CE7"/>
    <w:rsid w:val="00557FB1"/>
    <w:rsid w:val="00570609"/>
    <w:rsid w:val="00570662"/>
    <w:rsid w:val="00590F05"/>
    <w:rsid w:val="005A0FBB"/>
    <w:rsid w:val="005A1EF3"/>
    <w:rsid w:val="005A226F"/>
    <w:rsid w:val="005C17AE"/>
    <w:rsid w:val="005E7ABE"/>
    <w:rsid w:val="005F6CCA"/>
    <w:rsid w:val="00600F96"/>
    <w:rsid w:val="006101DE"/>
    <w:rsid w:val="006158D7"/>
    <w:rsid w:val="00621266"/>
    <w:rsid w:val="00626E54"/>
    <w:rsid w:val="00632836"/>
    <w:rsid w:val="00636474"/>
    <w:rsid w:val="00667A32"/>
    <w:rsid w:val="00673E79"/>
    <w:rsid w:val="00683455"/>
    <w:rsid w:val="0068625C"/>
    <w:rsid w:val="00686D79"/>
    <w:rsid w:val="00693817"/>
    <w:rsid w:val="006938AA"/>
    <w:rsid w:val="006942E8"/>
    <w:rsid w:val="006949CA"/>
    <w:rsid w:val="006C136A"/>
    <w:rsid w:val="0072173B"/>
    <w:rsid w:val="00722D2E"/>
    <w:rsid w:val="007258EB"/>
    <w:rsid w:val="007354B6"/>
    <w:rsid w:val="00736D4D"/>
    <w:rsid w:val="00767EF7"/>
    <w:rsid w:val="0078200E"/>
    <w:rsid w:val="00794B46"/>
    <w:rsid w:val="007A5402"/>
    <w:rsid w:val="007C2808"/>
    <w:rsid w:val="007C2ECB"/>
    <w:rsid w:val="007F2E35"/>
    <w:rsid w:val="0082120C"/>
    <w:rsid w:val="00831EE8"/>
    <w:rsid w:val="00841EF8"/>
    <w:rsid w:val="008526E8"/>
    <w:rsid w:val="00856A2B"/>
    <w:rsid w:val="00861298"/>
    <w:rsid w:val="0086785E"/>
    <w:rsid w:val="00871A4B"/>
    <w:rsid w:val="0089765E"/>
    <w:rsid w:val="008A4877"/>
    <w:rsid w:val="008A4C7F"/>
    <w:rsid w:val="008A5521"/>
    <w:rsid w:val="008D7F4B"/>
    <w:rsid w:val="008F310F"/>
    <w:rsid w:val="008F65F8"/>
    <w:rsid w:val="00931FC4"/>
    <w:rsid w:val="00935971"/>
    <w:rsid w:val="00936A9F"/>
    <w:rsid w:val="00947EEB"/>
    <w:rsid w:val="00951C0E"/>
    <w:rsid w:val="009731BC"/>
    <w:rsid w:val="009B4038"/>
    <w:rsid w:val="009B6094"/>
    <w:rsid w:val="009D73A8"/>
    <w:rsid w:val="009E7486"/>
    <w:rsid w:val="00A0642F"/>
    <w:rsid w:val="00A12EB6"/>
    <w:rsid w:val="00A16BAA"/>
    <w:rsid w:val="00A4556D"/>
    <w:rsid w:val="00A64E59"/>
    <w:rsid w:val="00A86AC5"/>
    <w:rsid w:val="00AA16FE"/>
    <w:rsid w:val="00AA5EDE"/>
    <w:rsid w:val="00AB50CB"/>
    <w:rsid w:val="00AC04FC"/>
    <w:rsid w:val="00AE02D4"/>
    <w:rsid w:val="00AE3C13"/>
    <w:rsid w:val="00AF0077"/>
    <w:rsid w:val="00B0399F"/>
    <w:rsid w:val="00B12FB4"/>
    <w:rsid w:val="00B14E0D"/>
    <w:rsid w:val="00B3360E"/>
    <w:rsid w:val="00B37823"/>
    <w:rsid w:val="00B766E8"/>
    <w:rsid w:val="00B848EE"/>
    <w:rsid w:val="00B948E4"/>
    <w:rsid w:val="00BA5CCF"/>
    <w:rsid w:val="00BB0DEB"/>
    <w:rsid w:val="00BB63E6"/>
    <w:rsid w:val="00BD067A"/>
    <w:rsid w:val="00BF5F9E"/>
    <w:rsid w:val="00C4735F"/>
    <w:rsid w:val="00C549C9"/>
    <w:rsid w:val="00C66FC6"/>
    <w:rsid w:val="00C74534"/>
    <w:rsid w:val="00C84961"/>
    <w:rsid w:val="00C8695E"/>
    <w:rsid w:val="00CA75E6"/>
    <w:rsid w:val="00CD1E16"/>
    <w:rsid w:val="00CE17C6"/>
    <w:rsid w:val="00CE51BD"/>
    <w:rsid w:val="00CF26EC"/>
    <w:rsid w:val="00D001CF"/>
    <w:rsid w:val="00D16A93"/>
    <w:rsid w:val="00D47B33"/>
    <w:rsid w:val="00D64070"/>
    <w:rsid w:val="00DA0911"/>
    <w:rsid w:val="00DA680A"/>
    <w:rsid w:val="00DB1B23"/>
    <w:rsid w:val="00DD459F"/>
    <w:rsid w:val="00DD5D4B"/>
    <w:rsid w:val="00E024E7"/>
    <w:rsid w:val="00E03C45"/>
    <w:rsid w:val="00E26D03"/>
    <w:rsid w:val="00E27D2D"/>
    <w:rsid w:val="00E521C6"/>
    <w:rsid w:val="00E539EC"/>
    <w:rsid w:val="00E71674"/>
    <w:rsid w:val="00E772CD"/>
    <w:rsid w:val="00EA1F58"/>
    <w:rsid w:val="00EA48B5"/>
    <w:rsid w:val="00EA6B53"/>
    <w:rsid w:val="00EB1993"/>
    <w:rsid w:val="00EC0AF0"/>
    <w:rsid w:val="00ED35F3"/>
    <w:rsid w:val="00ED5721"/>
    <w:rsid w:val="00ED72DF"/>
    <w:rsid w:val="00F012FC"/>
    <w:rsid w:val="00F029E6"/>
    <w:rsid w:val="00F0548F"/>
    <w:rsid w:val="00F153CC"/>
    <w:rsid w:val="00F2752A"/>
    <w:rsid w:val="00F361CE"/>
    <w:rsid w:val="00F370F2"/>
    <w:rsid w:val="00F76319"/>
    <w:rsid w:val="00F872F4"/>
    <w:rsid w:val="00F92BE2"/>
    <w:rsid w:val="00F978CE"/>
    <w:rsid w:val="00FA401E"/>
    <w:rsid w:val="00FA4906"/>
    <w:rsid w:val="00FA7995"/>
    <w:rsid w:val="00FD4D36"/>
    <w:rsid w:val="00FD53E2"/>
    <w:rsid w:val="00FD7640"/>
    <w:rsid w:val="00FF32B9"/>
    <w:rsid w:val="00FF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370F2"/>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68625C"/>
    <w:rPr>
      <w:color w:val="0000FF"/>
      <w:u w:val="single"/>
    </w:rPr>
  </w:style>
  <w:style w:type="character" w:customStyle="1" w:styleId="show-for-sr">
    <w:name w:val="show-for-sr"/>
    <w:basedOn w:val="Absatz-Standardschriftart"/>
    <w:rsid w:val="00686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370F2"/>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68625C"/>
    <w:rPr>
      <w:color w:val="0000FF"/>
      <w:u w:val="single"/>
    </w:rPr>
  </w:style>
  <w:style w:type="character" w:customStyle="1" w:styleId="show-for-sr">
    <w:name w:val="show-for-sr"/>
    <w:basedOn w:val="Absatz-Standardschriftart"/>
    <w:rsid w:val="0068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8455">
      <w:bodyDiv w:val="1"/>
      <w:marLeft w:val="0"/>
      <w:marRight w:val="0"/>
      <w:marTop w:val="0"/>
      <w:marBottom w:val="0"/>
      <w:divBdr>
        <w:top w:val="none" w:sz="0" w:space="0" w:color="auto"/>
        <w:left w:val="none" w:sz="0" w:space="0" w:color="auto"/>
        <w:bottom w:val="none" w:sz="0" w:space="0" w:color="auto"/>
        <w:right w:val="none" w:sz="0" w:space="0" w:color="auto"/>
      </w:divBdr>
    </w:div>
    <w:div w:id="561141302">
      <w:bodyDiv w:val="1"/>
      <w:marLeft w:val="0"/>
      <w:marRight w:val="0"/>
      <w:marTop w:val="0"/>
      <w:marBottom w:val="0"/>
      <w:divBdr>
        <w:top w:val="none" w:sz="0" w:space="0" w:color="auto"/>
        <w:left w:val="none" w:sz="0" w:space="0" w:color="auto"/>
        <w:bottom w:val="none" w:sz="0" w:space="0" w:color="auto"/>
        <w:right w:val="none" w:sz="0" w:space="0" w:color="auto"/>
      </w:divBdr>
    </w:div>
    <w:div w:id="681126051">
      <w:bodyDiv w:val="1"/>
      <w:marLeft w:val="0"/>
      <w:marRight w:val="0"/>
      <w:marTop w:val="0"/>
      <w:marBottom w:val="0"/>
      <w:divBdr>
        <w:top w:val="none" w:sz="0" w:space="0" w:color="auto"/>
        <w:left w:val="none" w:sz="0" w:space="0" w:color="auto"/>
        <w:bottom w:val="none" w:sz="0" w:space="0" w:color="auto"/>
        <w:right w:val="none" w:sz="0" w:space="0" w:color="auto"/>
      </w:divBdr>
    </w:div>
    <w:div w:id="783815564">
      <w:bodyDiv w:val="1"/>
      <w:marLeft w:val="0"/>
      <w:marRight w:val="0"/>
      <w:marTop w:val="0"/>
      <w:marBottom w:val="0"/>
      <w:divBdr>
        <w:top w:val="none" w:sz="0" w:space="0" w:color="auto"/>
        <w:left w:val="none" w:sz="0" w:space="0" w:color="auto"/>
        <w:bottom w:val="none" w:sz="0" w:space="0" w:color="auto"/>
        <w:right w:val="none" w:sz="0" w:space="0" w:color="auto"/>
      </w:divBdr>
    </w:div>
    <w:div w:id="983006996">
      <w:bodyDiv w:val="1"/>
      <w:marLeft w:val="0"/>
      <w:marRight w:val="0"/>
      <w:marTop w:val="0"/>
      <w:marBottom w:val="0"/>
      <w:divBdr>
        <w:top w:val="none" w:sz="0" w:space="0" w:color="auto"/>
        <w:left w:val="none" w:sz="0" w:space="0" w:color="auto"/>
        <w:bottom w:val="none" w:sz="0" w:space="0" w:color="auto"/>
        <w:right w:val="none" w:sz="0" w:space="0" w:color="auto"/>
      </w:divBdr>
    </w:div>
    <w:div w:id="988367776">
      <w:bodyDiv w:val="1"/>
      <w:marLeft w:val="0"/>
      <w:marRight w:val="0"/>
      <w:marTop w:val="0"/>
      <w:marBottom w:val="0"/>
      <w:divBdr>
        <w:top w:val="none" w:sz="0" w:space="0" w:color="auto"/>
        <w:left w:val="none" w:sz="0" w:space="0" w:color="auto"/>
        <w:bottom w:val="none" w:sz="0" w:space="0" w:color="auto"/>
        <w:right w:val="none" w:sz="0" w:space="0" w:color="auto"/>
      </w:divBdr>
    </w:div>
    <w:div w:id="1013655507">
      <w:bodyDiv w:val="1"/>
      <w:marLeft w:val="0"/>
      <w:marRight w:val="0"/>
      <w:marTop w:val="0"/>
      <w:marBottom w:val="0"/>
      <w:divBdr>
        <w:top w:val="none" w:sz="0" w:space="0" w:color="auto"/>
        <w:left w:val="none" w:sz="0" w:space="0" w:color="auto"/>
        <w:bottom w:val="none" w:sz="0" w:space="0" w:color="auto"/>
        <w:right w:val="none" w:sz="0" w:space="0" w:color="auto"/>
      </w:divBdr>
    </w:div>
    <w:div w:id="1014652853">
      <w:bodyDiv w:val="1"/>
      <w:marLeft w:val="0"/>
      <w:marRight w:val="0"/>
      <w:marTop w:val="0"/>
      <w:marBottom w:val="0"/>
      <w:divBdr>
        <w:top w:val="none" w:sz="0" w:space="0" w:color="auto"/>
        <w:left w:val="none" w:sz="0" w:space="0" w:color="auto"/>
        <w:bottom w:val="none" w:sz="0" w:space="0" w:color="auto"/>
        <w:right w:val="none" w:sz="0" w:space="0" w:color="auto"/>
      </w:divBdr>
    </w:div>
    <w:div w:id="1164929521">
      <w:bodyDiv w:val="1"/>
      <w:marLeft w:val="0"/>
      <w:marRight w:val="0"/>
      <w:marTop w:val="0"/>
      <w:marBottom w:val="0"/>
      <w:divBdr>
        <w:top w:val="none" w:sz="0" w:space="0" w:color="auto"/>
        <w:left w:val="none" w:sz="0" w:space="0" w:color="auto"/>
        <w:bottom w:val="none" w:sz="0" w:space="0" w:color="auto"/>
        <w:right w:val="none" w:sz="0" w:space="0" w:color="auto"/>
      </w:divBdr>
      <w:divsChild>
        <w:div w:id="1667710695">
          <w:marLeft w:val="0"/>
          <w:marRight w:val="0"/>
          <w:marTop w:val="0"/>
          <w:marBottom w:val="0"/>
          <w:divBdr>
            <w:top w:val="none" w:sz="0" w:space="0" w:color="auto"/>
            <w:left w:val="none" w:sz="0" w:space="0" w:color="auto"/>
            <w:bottom w:val="none" w:sz="0" w:space="0" w:color="auto"/>
            <w:right w:val="none" w:sz="0" w:space="0" w:color="auto"/>
          </w:divBdr>
          <w:divsChild>
            <w:div w:id="1927496324">
              <w:marLeft w:val="0"/>
              <w:marRight w:val="0"/>
              <w:marTop w:val="0"/>
              <w:marBottom w:val="0"/>
              <w:divBdr>
                <w:top w:val="none" w:sz="0" w:space="0" w:color="auto"/>
                <w:left w:val="none" w:sz="0" w:space="0" w:color="auto"/>
                <w:bottom w:val="none" w:sz="0" w:space="0" w:color="auto"/>
                <w:right w:val="none" w:sz="0" w:space="0" w:color="auto"/>
              </w:divBdr>
              <w:divsChild>
                <w:div w:id="17622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0156">
      <w:bodyDiv w:val="1"/>
      <w:marLeft w:val="0"/>
      <w:marRight w:val="0"/>
      <w:marTop w:val="0"/>
      <w:marBottom w:val="0"/>
      <w:divBdr>
        <w:top w:val="none" w:sz="0" w:space="0" w:color="auto"/>
        <w:left w:val="none" w:sz="0" w:space="0" w:color="auto"/>
        <w:bottom w:val="none" w:sz="0" w:space="0" w:color="auto"/>
        <w:right w:val="none" w:sz="0" w:space="0" w:color="auto"/>
      </w:divBdr>
      <w:divsChild>
        <w:div w:id="1682583679">
          <w:marLeft w:val="0"/>
          <w:marRight w:val="0"/>
          <w:marTop w:val="0"/>
          <w:marBottom w:val="0"/>
          <w:divBdr>
            <w:top w:val="none" w:sz="0" w:space="0" w:color="auto"/>
            <w:left w:val="none" w:sz="0" w:space="0" w:color="auto"/>
            <w:bottom w:val="none" w:sz="0" w:space="0" w:color="auto"/>
            <w:right w:val="none" w:sz="0" w:space="0" w:color="auto"/>
          </w:divBdr>
        </w:div>
        <w:div w:id="82530895">
          <w:marLeft w:val="0"/>
          <w:marRight w:val="0"/>
          <w:marTop w:val="0"/>
          <w:marBottom w:val="0"/>
          <w:divBdr>
            <w:top w:val="none" w:sz="0" w:space="0" w:color="auto"/>
            <w:left w:val="none" w:sz="0" w:space="0" w:color="auto"/>
            <w:bottom w:val="none" w:sz="0" w:space="0" w:color="auto"/>
            <w:right w:val="none" w:sz="0" w:space="0" w:color="auto"/>
          </w:divBdr>
        </w:div>
      </w:divsChild>
    </w:div>
    <w:div w:id="1304890184">
      <w:bodyDiv w:val="1"/>
      <w:marLeft w:val="0"/>
      <w:marRight w:val="0"/>
      <w:marTop w:val="0"/>
      <w:marBottom w:val="0"/>
      <w:divBdr>
        <w:top w:val="none" w:sz="0" w:space="0" w:color="auto"/>
        <w:left w:val="none" w:sz="0" w:space="0" w:color="auto"/>
        <w:bottom w:val="none" w:sz="0" w:space="0" w:color="auto"/>
        <w:right w:val="none" w:sz="0" w:space="0" w:color="auto"/>
      </w:divBdr>
    </w:div>
    <w:div w:id="1466579077">
      <w:bodyDiv w:val="1"/>
      <w:marLeft w:val="0"/>
      <w:marRight w:val="0"/>
      <w:marTop w:val="0"/>
      <w:marBottom w:val="0"/>
      <w:divBdr>
        <w:top w:val="none" w:sz="0" w:space="0" w:color="auto"/>
        <w:left w:val="none" w:sz="0" w:space="0" w:color="auto"/>
        <w:bottom w:val="none" w:sz="0" w:space="0" w:color="auto"/>
        <w:right w:val="none" w:sz="0" w:space="0" w:color="auto"/>
      </w:divBdr>
    </w:div>
    <w:div w:id="1483816434">
      <w:bodyDiv w:val="1"/>
      <w:marLeft w:val="0"/>
      <w:marRight w:val="0"/>
      <w:marTop w:val="0"/>
      <w:marBottom w:val="0"/>
      <w:divBdr>
        <w:top w:val="none" w:sz="0" w:space="0" w:color="auto"/>
        <w:left w:val="none" w:sz="0" w:space="0" w:color="auto"/>
        <w:bottom w:val="none" w:sz="0" w:space="0" w:color="auto"/>
        <w:right w:val="none" w:sz="0" w:space="0" w:color="auto"/>
      </w:divBdr>
    </w:div>
    <w:div w:id="1489132073">
      <w:bodyDiv w:val="1"/>
      <w:marLeft w:val="0"/>
      <w:marRight w:val="0"/>
      <w:marTop w:val="0"/>
      <w:marBottom w:val="0"/>
      <w:divBdr>
        <w:top w:val="none" w:sz="0" w:space="0" w:color="auto"/>
        <w:left w:val="none" w:sz="0" w:space="0" w:color="auto"/>
        <w:bottom w:val="none" w:sz="0" w:space="0" w:color="auto"/>
        <w:right w:val="none" w:sz="0" w:space="0" w:color="auto"/>
      </w:divBdr>
    </w:div>
    <w:div w:id="1491482887">
      <w:bodyDiv w:val="1"/>
      <w:marLeft w:val="0"/>
      <w:marRight w:val="0"/>
      <w:marTop w:val="0"/>
      <w:marBottom w:val="0"/>
      <w:divBdr>
        <w:top w:val="none" w:sz="0" w:space="0" w:color="auto"/>
        <w:left w:val="none" w:sz="0" w:space="0" w:color="auto"/>
        <w:bottom w:val="none" w:sz="0" w:space="0" w:color="auto"/>
        <w:right w:val="none" w:sz="0" w:space="0" w:color="auto"/>
      </w:divBdr>
    </w:div>
    <w:div w:id="1544249503">
      <w:bodyDiv w:val="1"/>
      <w:marLeft w:val="0"/>
      <w:marRight w:val="0"/>
      <w:marTop w:val="0"/>
      <w:marBottom w:val="0"/>
      <w:divBdr>
        <w:top w:val="none" w:sz="0" w:space="0" w:color="auto"/>
        <w:left w:val="none" w:sz="0" w:space="0" w:color="auto"/>
        <w:bottom w:val="none" w:sz="0" w:space="0" w:color="auto"/>
        <w:right w:val="none" w:sz="0" w:space="0" w:color="auto"/>
      </w:divBdr>
      <w:divsChild>
        <w:div w:id="994455271">
          <w:marLeft w:val="0"/>
          <w:marRight w:val="0"/>
          <w:marTop w:val="0"/>
          <w:marBottom w:val="0"/>
          <w:divBdr>
            <w:top w:val="none" w:sz="0" w:space="0" w:color="auto"/>
            <w:left w:val="none" w:sz="0" w:space="0" w:color="auto"/>
            <w:bottom w:val="none" w:sz="0" w:space="0" w:color="auto"/>
            <w:right w:val="none" w:sz="0" w:space="0" w:color="auto"/>
          </w:divBdr>
          <w:divsChild>
            <w:div w:id="1183128900">
              <w:marLeft w:val="0"/>
              <w:marRight w:val="0"/>
              <w:marTop w:val="0"/>
              <w:marBottom w:val="0"/>
              <w:divBdr>
                <w:top w:val="none" w:sz="0" w:space="0" w:color="auto"/>
                <w:left w:val="none" w:sz="0" w:space="0" w:color="auto"/>
                <w:bottom w:val="none" w:sz="0" w:space="0" w:color="auto"/>
                <w:right w:val="none" w:sz="0" w:space="0" w:color="auto"/>
              </w:divBdr>
              <w:divsChild>
                <w:div w:id="21360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2735">
      <w:bodyDiv w:val="1"/>
      <w:marLeft w:val="0"/>
      <w:marRight w:val="0"/>
      <w:marTop w:val="0"/>
      <w:marBottom w:val="0"/>
      <w:divBdr>
        <w:top w:val="none" w:sz="0" w:space="0" w:color="auto"/>
        <w:left w:val="none" w:sz="0" w:space="0" w:color="auto"/>
        <w:bottom w:val="none" w:sz="0" w:space="0" w:color="auto"/>
        <w:right w:val="none" w:sz="0" w:space="0" w:color="auto"/>
      </w:divBdr>
    </w:div>
    <w:div w:id="1649625428">
      <w:bodyDiv w:val="1"/>
      <w:marLeft w:val="0"/>
      <w:marRight w:val="0"/>
      <w:marTop w:val="0"/>
      <w:marBottom w:val="0"/>
      <w:divBdr>
        <w:top w:val="none" w:sz="0" w:space="0" w:color="auto"/>
        <w:left w:val="none" w:sz="0" w:space="0" w:color="auto"/>
        <w:bottom w:val="none" w:sz="0" w:space="0" w:color="auto"/>
        <w:right w:val="none" w:sz="0" w:space="0" w:color="auto"/>
      </w:divBdr>
    </w:div>
    <w:div w:id="1773666622">
      <w:bodyDiv w:val="1"/>
      <w:marLeft w:val="0"/>
      <w:marRight w:val="0"/>
      <w:marTop w:val="0"/>
      <w:marBottom w:val="0"/>
      <w:divBdr>
        <w:top w:val="none" w:sz="0" w:space="0" w:color="auto"/>
        <w:left w:val="none" w:sz="0" w:space="0" w:color="auto"/>
        <w:bottom w:val="none" w:sz="0" w:space="0" w:color="auto"/>
        <w:right w:val="none" w:sz="0" w:space="0" w:color="auto"/>
      </w:divBdr>
    </w:div>
    <w:div w:id="1858277475">
      <w:bodyDiv w:val="1"/>
      <w:marLeft w:val="0"/>
      <w:marRight w:val="0"/>
      <w:marTop w:val="0"/>
      <w:marBottom w:val="0"/>
      <w:divBdr>
        <w:top w:val="none" w:sz="0" w:space="0" w:color="auto"/>
        <w:left w:val="none" w:sz="0" w:space="0" w:color="auto"/>
        <w:bottom w:val="none" w:sz="0" w:space="0" w:color="auto"/>
        <w:right w:val="none" w:sz="0" w:space="0" w:color="auto"/>
      </w:divBdr>
      <w:divsChild>
        <w:div w:id="1455827540">
          <w:marLeft w:val="0"/>
          <w:marRight w:val="0"/>
          <w:marTop w:val="0"/>
          <w:marBottom w:val="0"/>
          <w:divBdr>
            <w:top w:val="none" w:sz="0" w:space="0" w:color="auto"/>
            <w:left w:val="none" w:sz="0" w:space="0" w:color="auto"/>
            <w:bottom w:val="none" w:sz="0" w:space="0" w:color="auto"/>
            <w:right w:val="none" w:sz="0" w:space="0" w:color="auto"/>
          </w:divBdr>
          <w:divsChild>
            <w:div w:id="339311180">
              <w:marLeft w:val="0"/>
              <w:marRight w:val="0"/>
              <w:marTop w:val="0"/>
              <w:marBottom w:val="0"/>
              <w:divBdr>
                <w:top w:val="none" w:sz="0" w:space="0" w:color="auto"/>
                <w:left w:val="none" w:sz="0" w:space="0" w:color="auto"/>
                <w:bottom w:val="none" w:sz="0" w:space="0" w:color="auto"/>
                <w:right w:val="none" w:sz="0" w:space="0" w:color="auto"/>
              </w:divBdr>
              <w:divsChild>
                <w:div w:id="3608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bag-selbsthilfe.de/informationsportal-selbsthilfe-aktive/projekte/potentiale-der-selbsthilfe-bei-der-frueherkennung-und-behandlung-depressiver-stoerungen-bei-menschen-mit-chronischer-erkrank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www.selbsthilfe-wirkt.de/kampagne-social-spot/" TargetMode="External"/><Relationship Id="rId2" Type="http://schemas.openxmlformats.org/officeDocument/2006/relationships/numbering" Target="numbering.xml"/><Relationship Id="rId16" Type="http://schemas.openxmlformats.org/officeDocument/2006/relationships/hyperlink" Target="https://www.bag-selbsthilfe.de/informationsportal-selbsthilfe-aktive/projek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selbsthilfe-tirol.at/fortbildungen/"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ungenliga.ch/fileadmin/user_upload/LLS/02_HauptNavigation/03_BeratungBetreuung/Selbsthilfe/Broschuere_Studie_Handlungsempfehlungen_D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Tabelle1!$B$1</c:f>
              <c:strCache>
                <c:ptCount val="1"/>
                <c:pt idx="0">
                  <c:v>Zusammenarbeit Selbsthilfezentren</c:v>
                </c:pt>
              </c:strCache>
            </c:strRef>
          </c:tx>
          <c:dLbls>
            <c:showLegendKey val="0"/>
            <c:showVal val="0"/>
            <c:showCatName val="1"/>
            <c:showSerName val="0"/>
            <c:showPercent val="1"/>
            <c:showBubbleSize val="0"/>
            <c:showLeaderLines val="1"/>
          </c:dLbls>
          <c:cat>
            <c:strRef>
              <c:f>Tabelle1!$A$2:$A$12</c:f>
              <c:strCache>
                <c:ptCount val="11"/>
                <c:pt idx="0">
                  <c:v>Psychiatrische Dienste Kliniken</c:v>
                </c:pt>
                <c:pt idx="1">
                  <c:v>Sozialberatung</c:v>
                </c:pt>
                <c:pt idx="2">
                  <c:v>Behinderten- und Selbsthilfeorganisationen</c:v>
                </c:pt>
                <c:pt idx="3">
                  <c:v>Gesundheitsligen</c:v>
                </c:pt>
                <c:pt idx="4">
                  <c:v>HausärztInnen</c:v>
                </c:pt>
                <c:pt idx="5">
                  <c:v>Spitäler</c:v>
                </c:pt>
                <c:pt idx="6">
                  <c:v>Gesundheitsdepartemente</c:v>
                </c:pt>
                <c:pt idx="7">
                  <c:v>Fachstellen Prävention</c:v>
                </c:pt>
                <c:pt idx="8">
                  <c:v>Stifungen für psychische Beeinträchtigte</c:v>
                </c:pt>
                <c:pt idx="9">
                  <c:v>Bildungszentrum Gesundheit</c:v>
                </c:pt>
                <c:pt idx="10">
                  <c:v>Andere</c:v>
                </c:pt>
              </c:strCache>
            </c:strRef>
          </c:cat>
          <c:val>
            <c:numRef>
              <c:f>Tabelle1!$B$2:$B$12</c:f>
              <c:numCache>
                <c:formatCode>General</c:formatCode>
                <c:ptCount val="11"/>
                <c:pt idx="0">
                  <c:v>19</c:v>
                </c:pt>
                <c:pt idx="1">
                  <c:v>18</c:v>
                </c:pt>
                <c:pt idx="2">
                  <c:v>13</c:v>
                </c:pt>
                <c:pt idx="3">
                  <c:v>11</c:v>
                </c:pt>
                <c:pt idx="4">
                  <c:v>7</c:v>
                </c:pt>
                <c:pt idx="5">
                  <c:v>5</c:v>
                </c:pt>
                <c:pt idx="6">
                  <c:v>5</c:v>
                </c:pt>
                <c:pt idx="7">
                  <c:v>5</c:v>
                </c:pt>
                <c:pt idx="8">
                  <c:v>3</c:v>
                </c:pt>
                <c:pt idx="9">
                  <c:v>2</c:v>
                </c:pt>
                <c:pt idx="10">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5E550B-76EB-4DD3-BE35-A10B2A885F3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de-DE"/>
        </a:p>
      </dgm:t>
    </dgm:pt>
    <dgm:pt modelId="{60698B9F-641B-4FFF-973F-EED8D86A840E}">
      <dgm:prSet phldrT="[Text]"/>
      <dgm:spPr/>
      <dgm:t>
        <a:bodyPr/>
        <a:lstStyle/>
        <a:p>
          <a:r>
            <a:rPr lang="de-DE"/>
            <a:t>Säule 1</a:t>
          </a:r>
        </a:p>
      </dgm:t>
    </dgm:pt>
    <dgm:pt modelId="{7F48E63B-63EA-44B0-BDF8-DB3B5D6BAFFF}" type="parTrans" cxnId="{487C42AD-B6BA-4072-BFD6-5B310B77452E}">
      <dgm:prSet/>
      <dgm:spPr/>
      <dgm:t>
        <a:bodyPr/>
        <a:lstStyle/>
        <a:p>
          <a:endParaRPr lang="de-DE"/>
        </a:p>
      </dgm:t>
    </dgm:pt>
    <dgm:pt modelId="{5B28C2B2-3171-4849-AB56-5FADEEAA7446}" type="sibTrans" cxnId="{487C42AD-B6BA-4072-BFD6-5B310B77452E}">
      <dgm:prSet/>
      <dgm:spPr/>
      <dgm:t>
        <a:bodyPr/>
        <a:lstStyle/>
        <a:p>
          <a:endParaRPr lang="de-DE"/>
        </a:p>
      </dgm:t>
    </dgm:pt>
    <dgm:pt modelId="{4DA8D3BB-092E-49BC-81FC-70BCED15E052}">
      <dgm:prSet phldrT="[Text]"/>
      <dgm:spPr/>
      <dgm:t>
        <a:bodyPr/>
        <a:lstStyle/>
        <a:p>
          <a:r>
            <a:rPr lang="de-DE"/>
            <a:t>Förderung der Selbsthilfe auf regionaler und lokaler Ebene</a:t>
          </a:r>
        </a:p>
      </dgm:t>
    </dgm:pt>
    <dgm:pt modelId="{7688E2C4-A508-499F-B614-C3457F883607}" type="parTrans" cxnId="{AB4E8C2A-F321-4CB6-B9B5-881F62A29642}">
      <dgm:prSet/>
      <dgm:spPr/>
      <dgm:t>
        <a:bodyPr/>
        <a:lstStyle/>
        <a:p>
          <a:endParaRPr lang="de-DE"/>
        </a:p>
      </dgm:t>
    </dgm:pt>
    <dgm:pt modelId="{D4812431-E03F-4A25-8D1E-BDFFB8AD5132}" type="sibTrans" cxnId="{AB4E8C2A-F321-4CB6-B9B5-881F62A29642}">
      <dgm:prSet/>
      <dgm:spPr/>
      <dgm:t>
        <a:bodyPr/>
        <a:lstStyle/>
        <a:p>
          <a:endParaRPr lang="de-DE"/>
        </a:p>
      </dgm:t>
    </dgm:pt>
    <dgm:pt modelId="{6B468CFA-EFAC-49E2-A614-6B1397B9889A}">
      <dgm:prSet phldrT="[Text]"/>
      <dgm:spPr/>
      <dgm:t>
        <a:bodyPr/>
        <a:lstStyle/>
        <a:p>
          <a:r>
            <a:rPr lang="de-DE"/>
            <a:t>Säule 2</a:t>
          </a:r>
        </a:p>
      </dgm:t>
    </dgm:pt>
    <dgm:pt modelId="{67095A37-5FAA-48AF-BC5F-DD72FB6CAF34}" type="parTrans" cxnId="{60758D9C-F2EB-4164-BFA5-F586C43BA74C}">
      <dgm:prSet/>
      <dgm:spPr/>
      <dgm:t>
        <a:bodyPr/>
        <a:lstStyle/>
        <a:p>
          <a:endParaRPr lang="de-DE"/>
        </a:p>
      </dgm:t>
    </dgm:pt>
    <dgm:pt modelId="{8833474B-03BA-4175-912E-1738C7891F13}" type="sibTrans" cxnId="{60758D9C-F2EB-4164-BFA5-F586C43BA74C}">
      <dgm:prSet/>
      <dgm:spPr/>
      <dgm:t>
        <a:bodyPr/>
        <a:lstStyle/>
        <a:p>
          <a:endParaRPr lang="de-DE"/>
        </a:p>
      </dgm:t>
    </dgm:pt>
    <dgm:pt modelId="{139E31B8-D424-48A8-BDA1-AC917561E113}">
      <dgm:prSet phldrT="[Text]"/>
      <dgm:spPr/>
      <dgm:t>
        <a:bodyPr/>
        <a:lstStyle/>
        <a:p>
          <a:r>
            <a:rPr lang="de-DE"/>
            <a:t>Förderung von bundesweit agierenden themenbezogenen Selbsthilfeorganisationen</a:t>
          </a:r>
        </a:p>
      </dgm:t>
    </dgm:pt>
    <dgm:pt modelId="{2364A90F-DED3-4884-B0AD-604DF47FEA58}" type="parTrans" cxnId="{5D6E5C7B-AF19-4C79-810F-E438DE4E0F1A}">
      <dgm:prSet/>
      <dgm:spPr/>
      <dgm:t>
        <a:bodyPr/>
        <a:lstStyle/>
        <a:p>
          <a:endParaRPr lang="de-DE"/>
        </a:p>
      </dgm:t>
    </dgm:pt>
    <dgm:pt modelId="{A1B6FA1D-138A-4DD6-A909-A2EBD0B49D70}" type="sibTrans" cxnId="{5D6E5C7B-AF19-4C79-810F-E438DE4E0F1A}">
      <dgm:prSet/>
      <dgm:spPr/>
      <dgm:t>
        <a:bodyPr/>
        <a:lstStyle/>
        <a:p>
          <a:endParaRPr lang="de-DE"/>
        </a:p>
      </dgm:t>
    </dgm:pt>
    <dgm:pt modelId="{231FDF90-8F8D-49A9-BE2B-85439B3FE56A}">
      <dgm:prSet phldrT="[Text]"/>
      <dgm:spPr/>
      <dgm:t>
        <a:bodyPr/>
        <a:lstStyle/>
        <a:p>
          <a:r>
            <a:rPr lang="de-DE"/>
            <a:t>Säule 3</a:t>
          </a:r>
        </a:p>
      </dgm:t>
    </dgm:pt>
    <dgm:pt modelId="{F7A33C76-AD40-4BDA-B4D0-737FF992C07E}" type="parTrans" cxnId="{84190943-9526-4B03-9717-6A7532F27E80}">
      <dgm:prSet/>
      <dgm:spPr/>
      <dgm:t>
        <a:bodyPr/>
        <a:lstStyle/>
        <a:p>
          <a:endParaRPr lang="de-DE"/>
        </a:p>
      </dgm:t>
    </dgm:pt>
    <dgm:pt modelId="{357A87D7-1E49-4A12-91E0-C1079423377F}" type="sibTrans" cxnId="{84190943-9526-4B03-9717-6A7532F27E80}">
      <dgm:prSet/>
      <dgm:spPr/>
      <dgm:t>
        <a:bodyPr/>
        <a:lstStyle/>
        <a:p>
          <a:endParaRPr lang="de-DE"/>
        </a:p>
      </dgm:t>
    </dgm:pt>
    <dgm:pt modelId="{D73AED14-156E-46C8-BC87-6F16816D3742}">
      <dgm:prSet phldrT="[Text]"/>
      <dgm:spPr/>
      <dgm:t>
        <a:bodyPr/>
        <a:lstStyle/>
        <a:p>
          <a:r>
            <a:rPr lang="de-DE"/>
            <a:t>Förderung eines Bundesverbandes der themenbezogenen Selbsthilfeorganisationen</a:t>
          </a:r>
        </a:p>
      </dgm:t>
    </dgm:pt>
    <dgm:pt modelId="{C09800D6-5496-45BA-815D-9E527631019A}" type="parTrans" cxnId="{8DEB2738-2743-43BB-80D4-586FA767D81C}">
      <dgm:prSet/>
      <dgm:spPr/>
      <dgm:t>
        <a:bodyPr/>
        <a:lstStyle/>
        <a:p>
          <a:endParaRPr lang="de-DE"/>
        </a:p>
      </dgm:t>
    </dgm:pt>
    <dgm:pt modelId="{5376989F-73C8-450F-8C80-0CE41B15D43C}" type="sibTrans" cxnId="{8DEB2738-2743-43BB-80D4-586FA767D81C}">
      <dgm:prSet/>
      <dgm:spPr/>
      <dgm:t>
        <a:bodyPr/>
        <a:lstStyle/>
        <a:p>
          <a:endParaRPr lang="de-DE"/>
        </a:p>
      </dgm:t>
    </dgm:pt>
    <dgm:pt modelId="{1637025A-C027-4F3C-89F7-BC57B202CEDA}">
      <dgm:prSet/>
      <dgm:spPr/>
      <dgm:t>
        <a:bodyPr/>
        <a:lstStyle/>
        <a:p>
          <a:r>
            <a:rPr lang="de-DE"/>
            <a:t>Säule 4</a:t>
          </a:r>
        </a:p>
      </dgm:t>
    </dgm:pt>
    <dgm:pt modelId="{4C6CFF96-9AC8-474C-9DB4-D0AE5E455D20}" type="parTrans" cxnId="{8FF7683E-378C-4030-B7ED-173892CE31CE}">
      <dgm:prSet/>
      <dgm:spPr/>
      <dgm:t>
        <a:bodyPr/>
        <a:lstStyle/>
        <a:p>
          <a:endParaRPr lang="de-DE"/>
        </a:p>
      </dgm:t>
    </dgm:pt>
    <dgm:pt modelId="{7A50FF24-4A81-4268-81D6-B788AAA35A5F}" type="sibTrans" cxnId="{8FF7683E-378C-4030-B7ED-173892CE31CE}">
      <dgm:prSet/>
      <dgm:spPr/>
      <dgm:t>
        <a:bodyPr/>
        <a:lstStyle/>
        <a:p>
          <a:endParaRPr lang="de-DE"/>
        </a:p>
      </dgm:t>
    </dgm:pt>
    <dgm:pt modelId="{28BFFE86-1D5E-456F-816D-6420330A91F5}">
      <dgm:prSet/>
      <dgm:spPr/>
      <dgm:t>
        <a:bodyPr/>
        <a:lstStyle/>
        <a:p>
          <a:r>
            <a:rPr lang="de-DE"/>
            <a:t>Einrichtung einer östereichischen Kompetenz- und Sevidestelle für Selbsthilfe ÖKUSS</a:t>
          </a:r>
        </a:p>
      </dgm:t>
    </dgm:pt>
    <dgm:pt modelId="{C0D53A97-D256-4A5C-9DDD-2080BBE559A8}" type="parTrans" cxnId="{4D4DCF64-B3B3-47A3-AC9A-930000DCCD0D}">
      <dgm:prSet/>
      <dgm:spPr/>
      <dgm:t>
        <a:bodyPr/>
        <a:lstStyle/>
        <a:p>
          <a:endParaRPr lang="de-DE"/>
        </a:p>
      </dgm:t>
    </dgm:pt>
    <dgm:pt modelId="{8ADAEE50-D281-4E7D-BC47-CC5681678979}" type="sibTrans" cxnId="{4D4DCF64-B3B3-47A3-AC9A-930000DCCD0D}">
      <dgm:prSet/>
      <dgm:spPr/>
      <dgm:t>
        <a:bodyPr/>
        <a:lstStyle/>
        <a:p>
          <a:endParaRPr lang="de-DE"/>
        </a:p>
      </dgm:t>
    </dgm:pt>
    <dgm:pt modelId="{AD60A460-5421-4E2C-A46C-18D012C8987A}" type="pres">
      <dgm:prSet presAssocID="{7C5E550B-76EB-4DD3-BE35-A10B2A885F32}" presName="Name0" presStyleCnt="0">
        <dgm:presLayoutVars>
          <dgm:dir/>
          <dgm:animLvl val="lvl"/>
          <dgm:resizeHandles val="exact"/>
        </dgm:presLayoutVars>
      </dgm:prSet>
      <dgm:spPr/>
      <dgm:t>
        <a:bodyPr/>
        <a:lstStyle/>
        <a:p>
          <a:endParaRPr lang="de-DE"/>
        </a:p>
      </dgm:t>
    </dgm:pt>
    <dgm:pt modelId="{BD55A8BD-261D-40A9-AB50-12386B05F060}" type="pres">
      <dgm:prSet presAssocID="{60698B9F-641B-4FFF-973F-EED8D86A840E}" presName="composite" presStyleCnt="0"/>
      <dgm:spPr/>
    </dgm:pt>
    <dgm:pt modelId="{A51641E3-BD8D-44CA-B642-E94C57315F03}" type="pres">
      <dgm:prSet presAssocID="{60698B9F-641B-4FFF-973F-EED8D86A840E}" presName="parTx" presStyleLbl="alignNode1" presStyleIdx="0" presStyleCnt="4" custScaleX="110000" custScaleY="100001">
        <dgm:presLayoutVars>
          <dgm:chMax val="0"/>
          <dgm:chPref val="0"/>
          <dgm:bulletEnabled val="1"/>
        </dgm:presLayoutVars>
      </dgm:prSet>
      <dgm:spPr/>
      <dgm:t>
        <a:bodyPr/>
        <a:lstStyle/>
        <a:p>
          <a:endParaRPr lang="de-DE"/>
        </a:p>
      </dgm:t>
    </dgm:pt>
    <dgm:pt modelId="{9F5BF2DE-228D-49E9-85EF-99684367AD18}" type="pres">
      <dgm:prSet presAssocID="{60698B9F-641B-4FFF-973F-EED8D86A840E}" presName="desTx" presStyleLbl="alignAccFollowNode1" presStyleIdx="0" presStyleCnt="4" custScaleX="110000" custScaleY="90909">
        <dgm:presLayoutVars>
          <dgm:bulletEnabled val="1"/>
        </dgm:presLayoutVars>
      </dgm:prSet>
      <dgm:spPr/>
      <dgm:t>
        <a:bodyPr/>
        <a:lstStyle/>
        <a:p>
          <a:endParaRPr lang="de-DE"/>
        </a:p>
      </dgm:t>
    </dgm:pt>
    <dgm:pt modelId="{D332A1C7-7FC2-4BCD-A02E-8ED44553844C}" type="pres">
      <dgm:prSet presAssocID="{5B28C2B2-3171-4849-AB56-5FADEEAA7446}" presName="space" presStyleCnt="0"/>
      <dgm:spPr/>
    </dgm:pt>
    <dgm:pt modelId="{580B85AC-5596-44C8-A3A4-BEBD3A4C03A9}" type="pres">
      <dgm:prSet presAssocID="{6B468CFA-EFAC-49E2-A614-6B1397B9889A}" presName="composite" presStyleCnt="0"/>
      <dgm:spPr/>
    </dgm:pt>
    <dgm:pt modelId="{24F96A50-9509-4EAA-9F94-E9B9F472EAE6}" type="pres">
      <dgm:prSet presAssocID="{6B468CFA-EFAC-49E2-A614-6B1397B9889A}" presName="parTx" presStyleLbl="alignNode1" presStyleIdx="1" presStyleCnt="4" custScaleY="100002">
        <dgm:presLayoutVars>
          <dgm:chMax val="0"/>
          <dgm:chPref val="0"/>
          <dgm:bulletEnabled val="1"/>
        </dgm:presLayoutVars>
      </dgm:prSet>
      <dgm:spPr/>
      <dgm:t>
        <a:bodyPr/>
        <a:lstStyle/>
        <a:p>
          <a:endParaRPr lang="de-DE"/>
        </a:p>
      </dgm:t>
    </dgm:pt>
    <dgm:pt modelId="{43D298B0-5716-4604-B696-46C4BE300C96}" type="pres">
      <dgm:prSet presAssocID="{6B468CFA-EFAC-49E2-A614-6B1397B9889A}" presName="desTx" presStyleLbl="alignAccFollowNode1" presStyleIdx="1" presStyleCnt="4">
        <dgm:presLayoutVars>
          <dgm:bulletEnabled val="1"/>
        </dgm:presLayoutVars>
      </dgm:prSet>
      <dgm:spPr/>
      <dgm:t>
        <a:bodyPr/>
        <a:lstStyle/>
        <a:p>
          <a:endParaRPr lang="de-DE"/>
        </a:p>
      </dgm:t>
    </dgm:pt>
    <dgm:pt modelId="{D28203C6-17C1-440A-BD26-D798B3AD03A5}" type="pres">
      <dgm:prSet presAssocID="{8833474B-03BA-4175-912E-1738C7891F13}" presName="space" presStyleCnt="0"/>
      <dgm:spPr/>
    </dgm:pt>
    <dgm:pt modelId="{98A6776A-1764-4C1B-8499-613D74D70198}" type="pres">
      <dgm:prSet presAssocID="{231FDF90-8F8D-49A9-BE2B-85439B3FE56A}" presName="composite" presStyleCnt="0"/>
      <dgm:spPr/>
    </dgm:pt>
    <dgm:pt modelId="{6363BA8F-6C62-4A73-99F4-BF0E53CBCCDC}" type="pres">
      <dgm:prSet presAssocID="{231FDF90-8F8D-49A9-BE2B-85439B3FE56A}" presName="parTx" presStyleLbl="alignNode1" presStyleIdx="2" presStyleCnt="4">
        <dgm:presLayoutVars>
          <dgm:chMax val="0"/>
          <dgm:chPref val="0"/>
          <dgm:bulletEnabled val="1"/>
        </dgm:presLayoutVars>
      </dgm:prSet>
      <dgm:spPr/>
      <dgm:t>
        <a:bodyPr/>
        <a:lstStyle/>
        <a:p>
          <a:endParaRPr lang="de-DE"/>
        </a:p>
      </dgm:t>
    </dgm:pt>
    <dgm:pt modelId="{1142D623-02AA-4D3B-9F94-CB30F21E6164}" type="pres">
      <dgm:prSet presAssocID="{231FDF90-8F8D-49A9-BE2B-85439B3FE56A}" presName="desTx" presStyleLbl="alignAccFollowNode1" presStyleIdx="2" presStyleCnt="4" custLinFactNeighborX="-1" custLinFactNeighborY="3867">
        <dgm:presLayoutVars>
          <dgm:bulletEnabled val="1"/>
        </dgm:presLayoutVars>
      </dgm:prSet>
      <dgm:spPr/>
      <dgm:t>
        <a:bodyPr/>
        <a:lstStyle/>
        <a:p>
          <a:endParaRPr lang="de-DE"/>
        </a:p>
      </dgm:t>
    </dgm:pt>
    <dgm:pt modelId="{4156424B-022D-46F3-9554-9CE8E89CE38F}" type="pres">
      <dgm:prSet presAssocID="{357A87D7-1E49-4A12-91E0-C1079423377F}" presName="space" presStyleCnt="0"/>
      <dgm:spPr/>
    </dgm:pt>
    <dgm:pt modelId="{DAA90805-2FCF-4C47-BD70-13520A8EFC8B}" type="pres">
      <dgm:prSet presAssocID="{1637025A-C027-4F3C-89F7-BC57B202CEDA}" presName="composite" presStyleCnt="0"/>
      <dgm:spPr/>
    </dgm:pt>
    <dgm:pt modelId="{7696FFA1-218C-460F-B8D2-8C7C94CF4773}" type="pres">
      <dgm:prSet presAssocID="{1637025A-C027-4F3C-89F7-BC57B202CEDA}" presName="parTx" presStyleLbl="alignNode1" presStyleIdx="3" presStyleCnt="4">
        <dgm:presLayoutVars>
          <dgm:chMax val="0"/>
          <dgm:chPref val="0"/>
          <dgm:bulletEnabled val="1"/>
        </dgm:presLayoutVars>
      </dgm:prSet>
      <dgm:spPr/>
      <dgm:t>
        <a:bodyPr/>
        <a:lstStyle/>
        <a:p>
          <a:endParaRPr lang="de-DE"/>
        </a:p>
      </dgm:t>
    </dgm:pt>
    <dgm:pt modelId="{F30E3E1A-6087-4AC5-8843-416E5B3781F4}" type="pres">
      <dgm:prSet presAssocID="{1637025A-C027-4F3C-89F7-BC57B202CEDA}" presName="desTx" presStyleLbl="alignAccFollowNode1" presStyleIdx="3" presStyleCnt="4">
        <dgm:presLayoutVars>
          <dgm:bulletEnabled val="1"/>
        </dgm:presLayoutVars>
      </dgm:prSet>
      <dgm:spPr/>
      <dgm:t>
        <a:bodyPr/>
        <a:lstStyle/>
        <a:p>
          <a:endParaRPr lang="de-DE"/>
        </a:p>
      </dgm:t>
    </dgm:pt>
  </dgm:ptLst>
  <dgm:cxnLst>
    <dgm:cxn modelId="{60758D9C-F2EB-4164-BFA5-F586C43BA74C}" srcId="{7C5E550B-76EB-4DD3-BE35-A10B2A885F32}" destId="{6B468CFA-EFAC-49E2-A614-6B1397B9889A}" srcOrd="1" destOrd="0" parTransId="{67095A37-5FAA-48AF-BC5F-DD72FB6CAF34}" sibTransId="{8833474B-03BA-4175-912E-1738C7891F13}"/>
    <dgm:cxn modelId="{487C42AD-B6BA-4072-BFD6-5B310B77452E}" srcId="{7C5E550B-76EB-4DD3-BE35-A10B2A885F32}" destId="{60698B9F-641B-4FFF-973F-EED8D86A840E}" srcOrd="0" destOrd="0" parTransId="{7F48E63B-63EA-44B0-BDF8-DB3B5D6BAFFF}" sibTransId="{5B28C2B2-3171-4849-AB56-5FADEEAA7446}"/>
    <dgm:cxn modelId="{8DEB2738-2743-43BB-80D4-586FA767D81C}" srcId="{231FDF90-8F8D-49A9-BE2B-85439B3FE56A}" destId="{D73AED14-156E-46C8-BC87-6F16816D3742}" srcOrd="0" destOrd="0" parTransId="{C09800D6-5496-45BA-815D-9E527631019A}" sibTransId="{5376989F-73C8-450F-8C80-0CE41B15D43C}"/>
    <dgm:cxn modelId="{5A0F2BEF-A5F9-4F28-BE7B-F41DBB9AF3FE}" type="presOf" srcId="{D73AED14-156E-46C8-BC87-6F16816D3742}" destId="{1142D623-02AA-4D3B-9F94-CB30F21E6164}" srcOrd="0" destOrd="0" presId="urn:microsoft.com/office/officeart/2005/8/layout/hList1"/>
    <dgm:cxn modelId="{BEDA89CC-1CB5-416B-92DF-D4908CD3B0E7}" type="presOf" srcId="{4DA8D3BB-092E-49BC-81FC-70BCED15E052}" destId="{9F5BF2DE-228D-49E9-85EF-99684367AD18}" srcOrd="0" destOrd="0" presId="urn:microsoft.com/office/officeart/2005/8/layout/hList1"/>
    <dgm:cxn modelId="{5D6E5C7B-AF19-4C79-810F-E438DE4E0F1A}" srcId="{6B468CFA-EFAC-49E2-A614-6B1397B9889A}" destId="{139E31B8-D424-48A8-BDA1-AC917561E113}" srcOrd="0" destOrd="0" parTransId="{2364A90F-DED3-4884-B0AD-604DF47FEA58}" sibTransId="{A1B6FA1D-138A-4DD6-A909-A2EBD0B49D70}"/>
    <dgm:cxn modelId="{BD14D9FE-DC18-4C28-B0B4-AE591BB7AB7E}" type="presOf" srcId="{1637025A-C027-4F3C-89F7-BC57B202CEDA}" destId="{7696FFA1-218C-460F-B8D2-8C7C94CF4773}" srcOrd="0" destOrd="0" presId="urn:microsoft.com/office/officeart/2005/8/layout/hList1"/>
    <dgm:cxn modelId="{4D4DCF64-B3B3-47A3-AC9A-930000DCCD0D}" srcId="{1637025A-C027-4F3C-89F7-BC57B202CEDA}" destId="{28BFFE86-1D5E-456F-816D-6420330A91F5}" srcOrd="0" destOrd="0" parTransId="{C0D53A97-D256-4A5C-9DDD-2080BBE559A8}" sibTransId="{8ADAEE50-D281-4E7D-BC47-CC5681678979}"/>
    <dgm:cxn modelId="{ED13BE49-87F1-434D-95DF-0D2FF0033116}" type="presOf" srcId="{139E31B8-D424-48A8-BDA1-AC917561E113}" destId="{43D298B0-5716-4604-B696-46C4BE300C96}" srcOrd="0" destOrd="0" presId="urn:microsoft.com/office/officeart/2005/8/layout/hList1"/>
    <dgm:cxn modelId="{CA9863C6-09F0-4197-8B93-3DE1410D95D7}" type="presOf" srcId="{60698B9F-641B-4FFF-973F-EED8D86A840E}" destId="{A51641E3-BD8D-44CA-B642-E94C57315F03}" srcOrd="0" destOrd="0" presId="urn:microsoft.com/office/officeart/2005/8/layout/hList1"/>
    <dgm:cxn modelId="{76250414-C481-479C-9532-2469486587BD}" type="presOf" srcId="{7C5E550B-76EB-4DD3-BE35-A10B2A885F32}" destId="{AD60A460-5421-4E2C-A46C-18D012C8987A}" srcOrd="0" destOrd="0" presId="urn:microsoft.com/office/officeart/2005/8/layout/hList1"/>
    <dgm:cxn modelId="{84190943-9526-4B03-9717-6A7532F27E80}" srcId="{7C5E550B-76EB-4DD3-BE35-A10B2A885F32}" destId="{231FDF90-8F8D-49A9-BE2B-85439B3FE56A}" srcOrd="2" destOrd="0" parTransId="{F7A33C76-AD40-4BDA-B4D0-737FF992C07E}" sibTransId="{357A87D7-1E49-4A12-91E0-C1079423377F}"/>
    <dgm:cxn modelId="{AB4E8C2A-F321-4CB6-B9B5-881F62A29642}" srcId="{60698B9F-641B-4FFF-973F-EED8D86A840E}" destId="{4DA8D3BB-092E-49BC-81FC-70BCED15E052}" srcOrd="0" destOrd="0" parTransId="{7688E2C4-A508-499F-B614-C3457F883607}" sibTransId="{D4812431-E03F-4A25-8D1E-BDFFB8AD5132}"/>
    <dgm:cxn modelId="{9E74F2FA-EC0E-42B9-B47C-9CC78B3E1837}" type="presOf" srcId="{231FDF90-8F8D-49A9-BE2B-85439B3FE56A}" destId="{6363BA8F-6C62-4A73-99F4-BF0E53CBCCDC}" srcOrd="0" destOrd="0" presId="urn:microsoft.com/office/officeart/2005/8/layout/hList1"/>
    <dgm:cxn modelId="{071EFD35-0CE2-49F2-9B49-94BC197E7648}" type="presOf" srcId="{6B468CFA-EFAC-49E2-A614-6B1397B9889A}" destId="{24F96A50-9509-4EAA-9F94-E9B9F472EAE6}" srcOrd="0" destOrd="0" presId="urn:microsoft.com/office/officeart/2005/8/layout/hList1"/>
    <dgm:cxn modelId="{09500D4E-3A35-40E5-99AB-1ED5F8CD50E5}" type="presOf" srcId="{28BFFE86-1D5E-456F-816D-6420330A91F5}" destId="{F30E3E1A-6087-4AC5-8843-416E5B3781F4}" srcOrd="0" destOrd="0" presId="urn:microsoft.com/office/officeart/2005/8/layout/hList1"/>
    <dgm:cxn modelId="{8FF7683E-378C-4030-B7ED-173892CE31CE}" srcId="{7C5E550B-76EB-4DD3-BE35-A10B2A885F32}" destId="{1637025A-C027-4F3C-89F7-BC57B202CEDA}" srcOrd="3" destOrd="0" parTransId="{4C6CFF96-9AC8-474C-9DB4-D0AE5E455D20}" sibTransId="{7A50FF24-4A81-4268-81D6-B788AAA35A5F}"/>
    <dgm:cxn modelId="{AE8EF3EC-9183-454B-A29A-683EC0BD4D43}" type="presParOf" srcId="{AD60A460-5421-4E2C-A46C-18D012C8987A}" destId="{BD55A8BD-261D-40A9-AB50-12386B05F060}" srcOrd="0" destOrd="0" presId="urn:microsoft.com/office/officeart/2005/8/layout/hList1"/>
    <dgm:cxn modelId="{98B7AA95-DB6C-47D7-A7CF-F822AFCB8D60}" type="presParOf" srcId="{BD55A8BD-261D-40A9-AB50-12386B05F060}" destId="{A51641E3-BD8D-44CA-B642-E94C57315F03}" srcOrd="0" destOrd="0" presId="urn:microsoft.com/office/officeart/2005/8/layout/hList1"/>
    <dgm:cxn modelId="{4258953F-4880-4214-8154-A3FC30862F86}" type="presParOf" srcId="{BD55A8BD-261D-40A9-AB50-12386B05F060}" destId="{9F5BF2DE-228D-49E9-85EF-99684367AD18}" srcOrd="1" destOrd="0" presId="urn:microsoft.com/office/officeart/2005/8/layout/hList1"/>
    <dgm:cxn modelId="{1A80C0B4-72D2-4454-A9F5-81B9216CD6FD}" type="presParOf" srcId="{AD60A460-5421-4E2C-A46C-18D012C8987A}" destId="{D332A1C7-7FC2-4BCD-A02E-8ED44553844C}" srcOrd="1" destOrd="0" presId="urn:microsoft.com/office/officeart/2005/8/layout/hList1"/>
    <dgm:cxn modelId="{19554E55-E832-4DF8-BA8E-F9931F49983A}" type="presParOf" srcId="{AD60A460-5421-4E2C-A46C-18D012C8987A}" destId="{580B85AC-5596-44C8-A3A4-BEBD3A4C03A9}" srcOrd="2" destOrd="0" presId="urn:microsoft.com/office/officeart/2005/8/layout/hList1"/>
    <dgm:cxn modelId="{2E23B308-4796-4271-B04D-7E4362794926}" type="presParOf" srcId="{580B85AC-5596-44C8-A3A4-BEBD3A4C03A9}" destId="{24F96A50-9509-4EAA-9F94-E9B9F472EAE6}" srcOrd="0" destOrd="0" presId="urn:microsoft.com/office/officeart/2005/8/layout/hList1"/>
    <dgm:cxn modelId="{F569E622-497B-4E78-B5A0-EAC75B8AC23C}" type="presParOf" srcId="{580B85AC-5596-44C8-A3A4-BEBD3A4C03A9}" destId="{43D298B0-5716-4604-B696-46C4BE300C96}" srcOrd="1" destOrd="0" presId="urn:microsoft.com/office/officeart/2005/8/layout/hList1"/>
    <dgm:cxn modelId="{E25E6B59-E1D2-4F87-B198-35B9A5535342}" type="presParOf" srcId="{AD60A460-5421-4E2C-A46C-18D012C8987A}" destId="{D28203C6-17C1-440A-BD26-D798B3AD03A5}" srcOrd="3" destOrd="0" presId="urn:microsoft.com/office/officeart/2005/8/layout/hList1"/>
    <dgm:cxn modelId="{F1A06CB1-11F1-4BC6-BC84-066BCF23358A}" type="presParOf" srcId="{AD60A460-5421-4E2C-A46C-18D012C8987A}" destId="{98A6776A-1764-4C1B-8499-613D74D70198}" srcOrd="4" destOrd="0" presId="urn:microsoft.com/office/officeart/2005/8/layout/hList1"/>
    <dgm:cxn modelId="{9D6D845B-ECE2-43FA-9578-EAB8559E339D}" type="presParOf" srcId="{98A6776A-1764-4C1B-8499-613D74D70198}" destId="{6363BA8F-6C62-4A73-99F4-BF0E53CBCCDC}" srcOrd="0" destOrd="0" presId="urn:microsoft.com/office/officeart/2005/8/layout/hList1"/>
    <dgm:cxn modelId="{7A365E42-B988-426C-9937-1171F4E4E2AA}" type="presParOf" srcId="{98A6776A-1764-4C1B-8499-613D74D70198}" destId="{1142D623-02AA-4D3B-9F94-CB30F21E6164}" srcOrd="1" destOrd="0" presId="urn:microsoft.com/office/officeart/2005/8/layout/hList1"/>
    <dgm:cxn modelId="{005C14FA-D28A-436D-81BA-37961C1D5CD7}" type="presParOf" srcId="{AD60A460-5421-4E2C-A46C-18D012C8987A}" destId="{4156424B-022D-46F3-9554-9CE8E89CE38F}" srcOrd="5" destOrd="0" presId="urn:microsoft.com/office/officeart/2005/8/layout/hList1"/>
    <dgm:cxn modelId="{EF33E411-731E-49D0-87E3-EE32AADEC75F}" type="presParOf" srcId="{AD60A460-5421-4E2C-A46C-18D012C8987A}" destId="{DAA90805-2FCF-4C47-BD70-13520A8EFC8B}" srcOrd="6" destOrd="0" presId="urn:microsoft.com/office/officeart/2005/8/layout/hList1"/>
    <dgm:cxn modelId="{BFC37EA4-A344-4F8F-BF62-9A7E380F900F}" type="presParOf" srcId="{DAA90805-2FCF-4C47-BD70-13520A8EFC8B}" destId="{7696FFA1-218C-460F-B8D2-8C7C94CF4773}" srcOrd="0" destOrd="0" presId="urn:microsoft.com/office/officeart/2005/8/layout/hList1"/>
    <dgm:cxn modelId="{F89A88FB-1011-4C33-868E-1F44C6AC728D}" type="presParOf" srcId="{DAA90805-2FCF-4C47-BD70-13520A8EFC8B}" destId="{F30E3E1A-6087-4AC5-8843-416E5B3781F4}"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641E3-BD8D-44CA-B642-E94C57315F03}">
      <dsp:nvSpPr>
        <dsp:cNvPr id="0" name=""/>
        <dsp:cNvSpPr/>
      </dsp:nvSpPr>
      <dsp:spPr>
        <a:xfrm>
          <a:off x="589" y="1082992"/>
          <a:ext cx="1334898" cy="23040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Säule 1</a:t>
          </a:r>
        </a:p>
      </dsp:txBody>
      <dsp:txXfrm>
        <a:off x="589" y="1082992"/>
        <a:ext cx="1334898" cy="230402"/>
      </dsp:txXfrm>
    </dsp:sp>
    <dsp:sp modelId="{9F5BF2DE-228D-49E9-85EF-99684367AD18}">
      <dsp:nvSpPr>
        <dsp:cNvPr id="0" name=""/>
        <dsp:cNvSpPr/>
      </dsp:nvSpPr>
      <dsp:spPr>
        <a:xfrm>
          <a:off x="589" y="1345929"/>
          <a:ext cx="1334898" cy="6507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Förderung der Selbsthilfe auf regionaler und lokaler Ebene</a:t>
          </a:r>
        </a:p>
      </dsp:txBody>
      <dsp:txXfrm>
        <a:off x="589" y="1345929"/>
        <a:ext cx="1334898" cy="650709"/>
      </dsp:txXfrm>
    </dsp:sp>
    <dsp:sp modelId="{24F96A50-9509-4EAA-9F94-E9B9F472EAE6}">
      <dsp:nvSpPr>
        <dsp:cNvPr id="0" name=""/>
        <dsp:cNvSpPr/>
      </dsp:nvSpPr>
      <dsp:spPr>
        <a:xfrm>
          <a:off x="1505384" y="1066723"/>
          <a:ext cx="1213544" cy="2304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Säule 2</a:t>
          </a:r>
        </a:p>
      </dsp:txBody>
      <dsp:txXfrm>
        <a:off x="1505384" y="1066723"/>
        <a:ext cx="1213544" cy="230404"/>
      </dsp:txXfrm>
    </dsp:sp>
    <dsp:sp modelId="{43D298B0-5716-4604-B696-46C4BE300C96}">
      <dsp:nvSpPr>
        <dsp:cNvPr id="0" name=""/>
        <dsp:cNvSpPr/>
      </dsp:nvSpPr>
      <dsp:spPr>
        <a:xfrm>
          <a:off x="1505384" y="1297126"/>
          <a:ext cx="1213544" cy="71578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Förderung von bundesweit agierenden themenbezogenen Selbsthilfeorganisationen</a:t>
          </a:r>
        </a:p>
      </dsp:txBody>
      <dsp:txXfrm>
        <a:off x="1505384" y="1297126"/>
        <a:ext cx="1213544" cy="715781"/>
      </dsp:txXfrm>
    </dsp:sp>
    <dsp:sp modelId="{6363BA8F-6C62-4A73-99F4-BF0E53CBCCDC}">
      <dsp:nvSpPr>
        <dsp:cNvPr id="0" name=""/>
        <dsp:cNvSpPr/>
      </dsp:nvSpPr>
      <dsp:spPr>
        <a:xfrm>
          <a:off x="2888825" y="1066724"/>
          <a:ext cx="1213544" cy="23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Säule 3</a:t>
          </a:r>
        </a:p>
      </dsp:txBody>
      <dsp:txXfrm>
        <a:off x="2888825" y="1066724"/>
        <a:ext cx="1213544" cy="230400"/>
      </dsp:txXfrm>
    </dsp:sp>
    <dsp:sp modelId="{1142D623-02AA-4D3B-9F94-CB30F21E6164}">
      <dsp:nvSpPr>
        <dsp:cNvPr id="0" name=""/>
        <dsp:cNvSpPr/>
      </dsp:nvSpPr>
      <dsp:spPr>
        <a:xfrm>
          <a:off x="2888813" y="1324804"/>
          <a:ext cx="1213544" cy="71578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Förderung eines Bundesverbandes der themenbezogenen Selbsthilfeorganisationen</a:t>
          </a:r>
        </a:p>
      </dsp:txBody>
      <dsp:txXfrm>
        <a:off x="2888813" y="1324804"/>
        <a:ext cx="1213544" cy="715781"/>
      </dsp:txXfrm>
    </dsp:sp>
    <dsp:sp modelId="{7696FFA1-218C-460F-B8D2-8C7C94CF4773}">
      <dsp:nvSpPr>
        <dsp:cNvPr id="0" name=""/>
        <dsp:cNvSpPr/>
      </dsp:nvSpPr>
      <dsp:spPr>
        <a:xfrm>
          <a:off x="4272266" y="1066724"/>
          <a:ext cx="1213544" cy="23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de-DE" sz="800" kern="1200"/>
            <a:t>Säule 4</a:t>
          </a:r>
        </a:p>
      </dsp:txBody>
      <dsp:txXfrm>
        <a:off x="4272266" y="1066724"/>
        <a:ext cx="1213544" cy="230400"/>
      </dsp:txXfrm>
    </dsp:sp>
    <dsp:sp modelId="{F30E3E1A-6087-4AC5-8843-416E5B3781F4}">
      <dsp:nvSpPr>
        <dsp:cNvPr id="0" name=""/>
        <dsp:cNvSpPr/>
      </dsp:nvSpPr>
      <dsp:spPr>
        <a:xfrm>
          <a:off x="4272266" y="1297124"/>
          <a:ext cx="1213544" cy="71578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de-DE" sz="800" kern="1200"/>
            <a:t>Einrichtung einer östereichischen Kompetenz- und Sevidestelle für Selbsthilfe ÖKUSS</a:t>
          </a:r>
        </a:p>
      </dsp:txBody>
      <dsp:txXfrm>
        <a:off x="4272266" y="1297124"/>
        <a:ext cx="1213544" cy="71578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DB3B-F1A8-4567-9ADE-B5F66E5C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6087</Words>
  <Characters>38351</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Fischer</dc:creator>
  <cp:lastModifiedBy>Beatrix Boehm</cp:lastModifiedBy>
  <cp:revision>13</cp:revision>
  <cp:lastPrinted>2019-03-21T10:29:00Z</cp:lastPrinted>
  <dcterms:created xsi:type="dcterms:W3CDTF">2019-03-20T15:19:00Z</dcterms:created>
  <dcterms:modified xsi:type="dcterms:W3CDTF">2019-03-21T14:41:00Z</dcterms:modified>
</cp:coreProperties>
</file>