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3ED" w:rsidRPr="008D33ED" w:rsidRDefault="008D33ED" w:rsidP="00DC768F">
      <w:pPr>
        <w:rPr>
          <w:b/>
          <w:szCs w:val="24"/>
        </w:rPr>
      </w:pPr>
      <w:bookmarkStart w:id="0" w:name="_GoBack"/>
      <w:bookmarkEnd w:id="0"/>
    </w:p>
    <w:p w:rsidR="008D33ED" w:rsidRPr="008D33ED" w:rsidRDefault="008D33ED" w:rsidP="00DC768F">
      <w:pPr>
        <w:rPr>
          <w:b/>
          <w:szCs w:val="24"/>
        </w:rPr>
      </w:pPr>
    </w:p>
    <w:p w:rsidR="008D33ED" w:rsidRPr="008D33ED" w:rsidRDefault="008D33ED" w:rsidP="00DC768F">
      <w:pPr>
        <w:rPr>
          <w:b/>
          <w:szCs w:val="24"/>
        </w:rPr>
      </w:pPr>
    </w:p>
    <w:p w:rsidR="005A4E91" w:rsidRPr="000F6F00" w:rsidRDefault="005A4E91" w:rsidP="005A4E91">
      <w:pPr>
        <w:spacing w:after="0"/>
        <w:ind w:right="175"/>
        <w:jc w:val="center"/>
        <w:rPr>
          <w:rFonts w:eastAsia="Times New Roman" w:cs="Arial"/>
          <w:b/>
          <w:color w:val="000000" w:themeColor="text1"/>
          <w:sz w:val="72"/>
          <w:szCs w:val="72"/>
          <w:lang w:eastAsia="de-DE"/>
        </w:rPr>
      </w:pPr>
      <w:r w:rsidRPr="000F6F00">
        <w:rPr>
          <w:rFonts w:eastAsia="Times New Roman" w:cs="Arial"/>
          <w:b/>
          <w:color w:val="000000" w:themeColor="text1"/>
          <w:sz w:val="72"/>
          <w:szCs w:val="72"/>
          <w:lang w:eastAsia="de-DE"/>
        </w:rPr>
        <w:t>Themenfeldpapier</w:t>
      </w:r>
    </w:p>
    <w:p w:rsidR="005A4E91" w:rsidRPr="000F6F00" w:rsidRDefault="005A4E91" w:rsidP="005A4E91">
      <w:pPr>
        <w:spacing w:after="0"/>
        <w:ind w:right="175"/>
        <w:jc w:val="center"/>
        <w:rPr>
          <w:rFonts w:eastAsia="Times New Roman" w:cs="Arial"/>
          <w:b/>
          <w:color w:val="000000" w:themeColor="text1"/>
          <w:sz w:val="16"/>
          <w:szCs w:val="16"/>
          <w:lang w:eastAsia="de-DE"/>
        </w:rPr>
      </w:pPr>
    </w:p>
    <w:p w:rsidR="005A4E91" w:rsidRPr="000F6F00" w:rsidRDefault="005A4E91" w:rsidP="005A4E91">
      <w:pPr>
        <w:spacing w:after="0"/>
        <w:ind w:right="175"/>
        <w:jc w:val="center"/>
        <w:rPr>
          <w:rFonts w:eastAsia="Times New Roman" w:cs="Arial"/>
          <w:b/>
          <w:color w:val="000000" w:themeColor="text1"/>
          <w:sz w:val="40"/>
          <w:szCs w:val="40"/>
          <w:lang w:eastAsia="de-DE"/>
        </w:rPr>
      </w:pPr>
      <w:r w:rsidRPr="000F6F00">
        <w:rPr>
          <w:rFonts w:eastAsia="Times New Roman" w:cs="Arial"/>
          <w:b/>
          <w:color w:val="000000" w:themeColor="text1"/>
          <w:sz w:val="40"/>
          <w:szCs w:val="40"/>
          <w:lang w:eastAsia="de-DE"/>
        </w:rPr>
        <w:t>„Familie“</w:t>
      </w:r>
    </w:p>
    <w:p w:rsidR="005A4E91" w:rsidRPr="000F6F00" w:rsidRDefault="005A4E91" w:rsidP="005A4E91">
      <w:pPr>
        <w:spacing w:after="0"/>
        <w:ind w:right="175"/>
        <w:jc w:val="center"/>
        <w:rPr>
          <w:rFonts w:eastAsia="Times New Roman" w:cs="Arial"/>
          <w:color w:val="000000" w:themeColor="text1"/>
          <w:sz w:val="16"/>
          <w:szCs w:val="16"/>
          <w:lang w:eastAsia="de-DE"/>
        </w:rPr>
      </w:pPr>
    </w:p>
    <w:p w:rsidR="005A4E91" w:rsidRPr="000F6F00" w:rsidRDefault="005A4E91" w:rsidP="005A4E91">
      <w:pPr>
        <w:spacing w:after="0"/>
        <w:ind w:right="175"/>
        <w:jc w:val="center"/>
        <w:rPr>
          <w:rFonts w:eastAsia="Times New Roman" w:cs="Arial"/>
          <w:color w:val="000000" w:themeColor="text1"/>
          <w:szCs w:val="24"/>
          <w:lang w:eastAsia="de-DE"/>
        </w:rPr>
      </w:pPr>
    </w:p>
    <w:p w:rsidR="005A4E91" w:rsidRPr="000F6F00" w:rsidRDefault="005A4E91" w:rsidP="005A4E91">
      <w:pPr>
        <w:spacing w:after="0"/>
        <w:ind w:right="175"/>
        <w:jc w:val="center"/>
        <w:rPr>
          <w:rFonts w:eastAsia="Times New Roman" w:cs="Arial"/>
          <w:color w:val="000000" w:themeColor="text1"/>
          <w:sz w:val="28"/>
          <w:szCs w:val="28"/>
          <w:lang w:eastAsia="de-DE"/>
        </w:rPr>
      </w:pPr>
      <w:r w:rsidRPr="000F6F00">
        <w:rPr>
          <w:rFonts w:eastAsia="Times New Roman" w:cs="Arial"/>
          <w:color w:val="000000" w:themeColor="text1"/>
          <w:sz w:val="28"/>
          <w:szCs w:val="28"/>
          <w:lang w:eastAsia="de-DE"/>
        </w:rPr>
        <w:t xml:space="preserve">Stand: </w:t>
      </w:r>
      <w:r>
        <w:rPr>
          <w:rFonts w:eastAsia="Times New Roman" w:cs="Arial"/>
          <w:color w:val="000000" w:themeColor="text1"/>
          <w:sz w:val="28"/>
          <w:szCs w:val="28"/>
          <w:lang w:eastAsia="de-DE"/>
        </w:rPr>
        <w:t>Juli</w:t>
      </w:r>
      <w:r w:rsidRPr="000F6F00">
        <w:rPr>
          <w:rFonts w:eastAsia="Times New Roman" w:cs="Arial"/>
          <w:color w:val="000000" w:themeColor="text1"/>
          <w:sz w:val="28"/>
          <w:szCs w:val="28"/>
          <w:lang w:eastAsia="de-DE"/>
        </w:rPr>
        <w:t xml:space="preserve"> 2019</w:t>
      </w:r>
    </w:p>
    <w:p w:rsidR="005A4E91" w:rsidRPr="000F6F00" w:rsidRDefault="005A4E91" w:rsidP="005A4E91">
      <w:pPr>
        <w:spacing w:after="0"/>
        <w:ind w:right="175"/>
        <w:jc w:val="center"/>
        <w:rPr>
          <w:rFonts w:eastAsia="Times New Roman" w:cs="Arial"/>
          <w:color w:val="000000" w:themeColor="text1"/>
          <w:szCs w:val="24"/>
          <w:lang w:eastAsia="de-DE"/>
        </w:rPr>
      </w:pPr>
    </w:p>
    <w:p w:rsidR="005A4E91" w:rsidRPr="000F6F00" w:rsidRDefault="005A4E91" w:rsidP="005A4E91">
      <w:pPr>
        <w:spacing w:after="0"/>
        <w:ind w:right="175"/>
        <w:jc w:val="center"/>
        <w:rPr>
          <w:rFonts w:eastAsia="Times New Roman" w:cs="Arial"/>
          <w:color w:val="000000" w:themeColor="text1"/>
          <w:szCs w:val="24"/>
          <w:lang w:eastAsia="de-DE"/>
        </w:rPr>
      </w:pPr>
    </w:p>
    <w:p w:rsidR="005A4E91" w:rsidRPr="000F6F00" w:rsidRDefault="005A4E91" w:rsidP="005A4E91">
      <w:pPr>
        <w:spacing w:after="0"/>
        <w:ind w:right="175"/>
        <w:jc w:val="center"/>
        <w:rPr>
          <w:rFonts w:eastAsia="Times New Roman" w:cs="Arial"/>
          <w:color w:val="000000" w:themeColor="text1"/>
          <w:szCs w:val="24"/>
          <w:lang w:eastAsia="de-DE"/>
        </w:rPr>
      </w:pPr>
      <w:r w:rsidRPr="000F6F00">
        <w:rPr>
          <w:rFonts w:eastAsia="Times New Roman" w:cs="Arial"/>
          <w:color w:val="000000" w:themeColor="text1"/>
          <w:szCs w:val="24"/>
          <w:lang w:eastAsia="de-DE"/>
        </w:rPr>
        <w:t>Das Projekt „Selbsthilfe unter den Rahmenbedingungen des demografischen Wa</w:t>
      </w:r>
      <w:r w:rsidRPr="000F6F00">
        <w:rPr>
          <w:rFonts w:eastAsia="Times New Roman" w:cs="Arial"/>
          <w:color w:val="000000" w:themeColor="text1"/>
          <w:szCs w:val="24"/>
          <w:lang w:eastAsia="de-DE"/>
        </w:rPr>
        <w:t>n</w:t>
      </w:r>
      <w:r w:rsidRPr="000F6F00">
        <w:rPr>
          <w:rFonts w:eastAsia="Times New Roman" w:cs="Arial"/>
          <w:color w:val="000000" w:themeColor="text1"/>
          <w:szCs w:val="24"/>
          <w:lang w:eastAsia="de-DE"/>
        </w:rPr>
        <w:t>dels“</w:t>
      </w:r>
      <w:r>
        <w:rPr>
          <w:rFonts w:eastAsia="Times New Roman" w:cs="Arial"/>
          <w:color w:val="000000" w:themeColor="text1"/>
          <w:szCs w:val="24"/>
          <w:lang w:eastAsia="de-DE"/>
        </w:rPr>
        <w:t xml:space="preserve"> </w:t>
      </w:r>
      <w:r w:rsidRPr="000F6F00">
        <w:rPr>
          <w:rFonts w:eastAsia="Times New Roman" w:cs="Arial"/>
          <w:color w:val="000000" w:themeColor="text1"/>
          <w:szCs w:val="24"/>
          <w:lang w:eastAsia="de-DE"/>
        </w:rPr>
        <w:t>wird gefördert durch den BKK Dachverband.</w:t>
      </w:r>
    </w:p>
    <w:p w:rsidR="005A4E91" w:rsidRDefault="005A4E91" w:rsidP="005A4E91">
      <w:pPr>
        <w:ind w:right="175"/>
        <w:jc w:val="center"/>
        <w:rPr>
          <w:rFonts w:eastAsia="Times New Roman" w:cs="Arial"/>
          <w:color w:val="000000" w:themeColor="text1"/>
          <w:szCs w:val="24"/>
          <w:lang w:eastAsia="de-DE"/>
        </w:rPr>
      </w:pPr>
    </w:p>
    <w:p w:rsidR="005A4E91" w:rsidRDefault="005A4E91" w:rsidP="005A4E91">
      <w:pPr>
        <w:ind w:right="175"/>
        <w:jc w:val="center"/>
        <w:rPr>
          <w:rFonts w:eastAsia="Times New Roman" w:cs="Arial"/>
          <w:color w:val="000000" w:themeColor="text1"/>
          <w:szCs w:val="24"/>
          <w:lang w:eastAsia="de-DE"/>
        </w:rPr>
      </w:pPr>
    </w:p>
    <w:p w:rsidR="005A4E91" w:rsidRPr="000F6F00" w:rsidRDefault="005A4E91" w:rsidP="005A4E91">
      <w:pPr>
        <w:spacing w:after="0" w:line="240" w:lineRule="auto"/>
        <w:ind w:right="175"/>
        <w:jc w:val="center"/>
        <w:rPr>
          <w:rFonts w:eastAsia="Times New Roman" w:cs="Times New Roman"/>
          <w:color w:val="000000" w:themeColor="text1"/>
          <w:szCs w:val="24"/>
          <w:lang w:eastAsia="de-DE"/>
        </w:rPr>
      </w:pPr>
      <w:r w:rsidRPr="000F6F00">
        <w:rPr>
          <w:rFonts w:eastAsia="Times New Roman" w:cs="Arial"/>
          <w:noProof/>
          <w:color w:val="000000" w:themeColor="text1"/>
          <w:szCs w:val="24"/>
          <w:lang w:eastAsia="de-DE"/>
        </w:rPr>
        <w:drawing>
          <wp:inline distT="0" distB="0" distL="0" distR="0" wp14:anchorId="268EF807" wp14:editId="55CDF41E">
            <wp:extent cx="1466850" cy="723900"/>
            <wp:effectExtent l="0" t="0" r="0" b="0"/>
            <wp:docPr id="7" name="Grafik 7" descr="BKK-Dachverban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K-Dachverband-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723900"/>
                    </a:xfrm>
                    <a:prstGeom prst="rect">
                      <a:avLst/>
                    </a:prstGeom>
                    <a:noFill/>
                    <a:ln>
                      <a:noFill/>
                    </a:ln>
                  </pic:spPr>
                </pic:pic>
              </a:graphicData>
            </a:graphic>
          </wp:inline>
        </w:drawing>
      </w:r>
    </w:p>
    <w:p w:rsidR="005A4E91" w:rsidRPr="000F6F00" w:rsidRDefault="005A4E91" w:rsidP="005A4E91">
      <w:pPr>
        <w:spacing w:after="0" w:line="240" w:lineRule="auto"/>
        <w:rPr>
          <w:rFonts w:eastAsia="Times New Roman" w:cs="Times New Roman"/>
          <w:color w:val="000000" w:themeColor="text1"/>
          <w:szCs w:val="24"/>
          <w:lang w:eastAsia="de-DE"/>
        </w:rPr>
      </w:pPr>
    </w:p>
    <w:p w:rsidR="008D33ED" w:rsidRPr="008D33ED" w:rsidRDefault="008D33ED" w:rsidP="00DC768F">
      <w:pPr>
        <w:jc w:val="center"/>
        <w:rPr>
          <w:sz w:val="28"/>
          <w:szCs w:val="28"/>
        </w:rPr>
      </w:pPr>
    </w:p>
    <w:p w:rsidR="00DB6DE3" w:rsidRDefault="008D33ED" w:rsidP="00DB6DE3">
      <w:pPr>
        <w:jc w:val="both"/>
        <w:rPr>
          <w:b/>
          <w:sz w:val="36"/>
          <w:szCs w:val="36"/>
        </w:rPr>
      </w:pPr>
      <w:r>
        <w:rPr>
          <w:b/>
          <w:sz w:val="36"/>
          <w:szCs w:val="36"/>
        </w:rPr>
        <w:br w:type="page"/>
      </w:r>
    </w:p>
    <w:bookmarkStart w:id="1" w:name="_Toc3794032" w:displacedByCustomXml="next"/>
    <w:bookmarkStart w:id="2" w:name="_Toc13216659" w:displacedByCustomXml="next"/>
    <w:sdt>
      <w:sdtPr>
        <w:rPr>
          <w:rFonts w:eastAsiaTheme="minorHAnsi" w:cstheme="minorBidi"/>
          <w:b w:val="0"/>
          <w:bCs w:val="0"/>
          <w:sz w:val="24"/>
          <w:szCs w:val="22"/>
        </w:rPr>
        <w:id w:val="806056179"/>
        <w:docPartObj>
          <w:docPartGallery w:val="Table of Contents"/>
          <w:docPartUnique/>
        </w:docPartObj>
      </w:sdtPr>
      <w:sdtEndPr/>
      <w:sdtContent>
        <w:p w:rsidR="009B148B" w:rsidRDefault="009B148B" w:rsidP="004059F2">
          <w:pPr>
            <w:pStyle w:val="berschrift2"/>
          </w:pPr>
          <w:r>
            <w:t>Inhaltsverzeichnis</w:t>
          </w:r>
          <w:bookmarkEnd w:id="2"/>
          <w:bookmarkEnd w:id="1"/>
        </w:p>
        <w:p w:rsidR="00AD3D65" w:rsidRDefault="009B148B">
          <w:pPr>
            <w:pStyle w:val="Verzeichnis2"/>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3216660" w:history="1">
            <w:r w:rsidR="00AD3D65" w:rsidRPr="00435235">
              <w:rPr>
                <w:rStyle w:val="Hyperlink"/>
                <w:rFonts w:eastAsia="Times New Roman" w:cs="Calibri"/>
                <w:b/>
                <w:bCs/>
                <w:noProof/>
              </w:rPr>
              <w:t>I.</w:t>
            </w:r>
            <w:r w:rsidR="00AD3D65">
              <w:rPr>
                <w:rFonts w:asciiTheme="minorHAnsi" w:eastAsiaTheme="minorEastAsia" w:hAnsiTheme="minorHAnsi"/>
                <w:noProof/>
                <w:sz w:val="22"/>
                <w:lang w:eastAsia="de-DE"/>
              </w:rPr>
              <w:tab/>
            </w:r>
            <w:r w:rsidR="00AD3D65" w:rsidRPr="00435235">
              <w:rPr>
                <w:rStyle w:val="Hyperlink"/>
                <w:rFonts w:eastAsia="Times New Roman" w:cs="Calibri"/>
                <w:b/>
                <w:bCs/>
                <w:noProof/>
              </w:rPr>
              <w:t>Einleitung</w:t>
            </w:r>
            <w:r w:rsidR="008A203B">
              <w:rPr>
                <w:rStyle w:val="Hyperlink"/>
                <w:rFonts w:eastAsia="Times New Roman" w:cs="Calibri"/>
                <w:b/>
                <w:bCs/>
                <w:noProof/>
              </w:rPr>
              <w:t>..</w:t>
            </w:r>
            <w:r w:rsidR="00AD3D65">
              <w:rPr>
                <w:noProof/>
                <w:webHidden/>
              </w:rPr>
              <w:tab/>
            </w:r>
            <w:r w:rsidR="00AD3D65">
              <w:rPr>
                <w:noProof/>
                <w:webHidden/>
              </w:rPr>
              <w:fldChar w:fldCharType="begin"/>
            </w:r>
            <w:r w:rsidR="00AD3D65">
              <w:rPr>
                <w:noProof/>
                <w:webHidden/>
              </w:rPr>
              <w:instrText xml:space="preserve"> PAGEREF _Toc13216660 \h </w:instrText>
            </w:r>
            <w:r w:rsidR="00AD3D65">
              <w:rPr>
                <w:noProof/>
                <w:webHidden/>
              </w:rPr>
            </w:r>
            <w:r w:rsidR="00AD3D65">
              <w:rPr>
                <w:noProof/>
                <w:webHidden/>
              </w:rPr>
              <w:fldChar w:fldCharType="separate"/>
            </w:r>
            <w:r w:rsidR="00FB6C18">
              <w:rPr>
                <w:noProof/>
                <w:webHidden/>
              </w:rPr>
              <w:t>3</w:t>
            </w:r>
            <w:r w:rsidR="00AD3D65">
              <w:rPr>
                <w:noProof/>
                <w:webHidden/>
              </w:rPr>
              <w:fldChar w:fldCharType="end"/>
            </w:r>
          </w:hyperlink>
        </w:p>
        <w:p w:rsidR="00AD3D65" w:rsidRDefault="00EB35B4">
          <w:pPr>
            <w:pStyle w:val="Verzeichnis2"/>
            <w:rPr>
              <w:rFonts w:asciiTheme="minorHAnsi" w:eastAsiaTheme="minorEastAsia" w:hAnsiTheme="minorHAnsi"/>
              <w:noProof/>
              <w:sz w:val="22"/>
              <w:lang w:eastAsia="de-DE"/>
            </w:rPr>
          </w:pPr>
          <w:hyperlink w:anchor="_Toc13216661" w:history="1">
            <w:r w:rsidR="00AD3D65" w:rsidRPr="00435235">
              <w:rPr>
                <w:rStyle w:val="Hyperlink"/>
                <w:rFonts w:eastAsia="Times New Roman" w:cs="Calibri"/>
                <w:b/>
                <w:bCs/>
                <w:noProof/>
              </w:rPr>
              <w:t>II.</w:t>
            </w:r>
            <w:r w:rsidR="00AD3D65">
              <w:rPr>
                <w:rFonts w:asciiTheme="minorHAnsi" w:eastAsiaTheme="minorEastAsia" w:hAnsiTheme="minorHAnsi"/>
                <w:noProof/>
                <w:sz w:val="22"/>
                <w:lang w:eastAsia="de-DE"/>
              </w:rPr>
              <w:tab/>
            </w:r>
            <w:r w:rsidR="00AD3D65" w:rsidRPr="00435235">
              <w:rPr>
                <w:rStyle w:val="Hyperlink"/>
                <w:rFonts w:eastAsia="Times New Roman" w:cs="Calibri"/>
                <w:b/>
                <w:bCs/>
                <w:noProof/>
              </w:rPr>
              <w:t>Familien im Wandel</w:t>
            </w:r>
            <w:r w:rsidR="00AD3D65">
              <w:rPr>
                <w:noProof/>
                <w:webHidden/>
              </w:rPr>
              <w:tab/>
            </w:r>
            <w:r w:rsidR="00AD3D65">
              <w:rPr>
                <w:noProof/>
                <w:webHidden/>
              </w:rPr>
              <w:fldChar w:fldCharType="begin"/>
            </w:r>
            <w:r w:rsidR="00AD3D65">
              <w:rPr>
                <w:noProof/>
                <w:webHidden/>
              </w:rPr>
              <w:instrText xml:space="preserve"> PAGEREF _Toc13216661 \h </w:instrText>
            </w:r>
            <w:r w:rsidR="00AD3D65">
              <w:rPr>
                <w:noProof/>
                <w:webHidden/>
              </w:rPr>
            </w:r>
            <w:r w:rsidR="00AD3D65">
              <w:rPr>
                <w:noProof/>
                <w:webHidden/>
              </w:rPr>
              <w:fldChar w:fldCharType="separate"/>
            </w:r>
            <w:r w:rsidR="00FB6C18">
              <w:rPr>
                <w:noProof/>
                <w:webHidden/>
              </w:rPr>
              <w:t>4</w:t>
            </w:r>
            <w:r w:rsidR="00AD3D65">
              <w:rPr>
                <w:noProof/>
                <w:webHidden/>
              </w:rPr>
              <w:fldChar w:fldCharType="end"/>
            </w:r>
          </w:hyperlink>
        </w:p>
        <w:p w:rsidR="00AD3D65" w:rsidRDefault="00EB35B4">
          <w:pPr>
            <w:pStyle w:val="Verzeichnis3"/>
            <w:tabs>
              <w:tab w:val="right" w:leader="dot" w:pos="9231"/>
            </w:tabs>
            <w:rPr>
              <w:rFonts w:asciiTheme="minorHAnsi" w:eastAsiaTheme="minorEastAsia" w:hAnsiTheme="minorHAnsi"/>
              <w:noProof/>
              <w:sz w:val="22"/>
              <w:lang w:eastAsia="de-DE"/>
            </w:rPr>
          </w:pPr>
          <w:hyperlink w:anchor="_Toc13216662" w:history="1">
            <w:r w:rsidR="00AD3D65" w:rsidRPr="00435235">
              <w:rPr>
                <w:rStyle w:val="Hyperlink"/>
                <w:noProof/>
              </w:rPr>
              <w:t>Rückgang der Geburtenrate</w:t>
            </w:r>
            <w:r w:rsidR="00AD3D65">
              <w:rPr>
                <w:noProof/>
                <w:webHidden/>
              </w:rPr>
              <w:tab/>
            </w:r>
            <w:r w:rsidR="00AD3D65">
              <w:rPr>
                <w:noProof/>
                <w:webHidden/>
              </w:rPr>
              <w:fldChar w:fldCharType="begin"/>
            </w:r>
            <w:r w:rsidR="00AD3D65">
              <w:rPr>
                <w:noProof/>
                <w:webHidden/>
              </w:rPr>
              <w:instrText xml:space="preserve"> PAGEREF _Toc13216662 \h </w:instrText>
            </w:r>
            <w:r w:rsidR="00AD3D65">
              <w:rPr>
                <w:noProof/>
                <w:webHidden/>
              </w:rPr>
            </w:r>
            <w:r w:rsidR="00AD3D65">
              <w:rPr>
                <w:noProof/>
                <w:webHidden/>
              </w:rPr>
              <w:fldChar w:fldCharType="separate"/>
            </w:r>
            <w:r w:rsidR="00FB6C18">
              <w:rPr>
                <w:noProof/>
                <w:webHidden/>
              </w:rPr>
              <w:t>4</w:t>
            </w:r>
            <w:r w:rsidR="00AD3D65">
              <w:rPr>
                <w:noProof/>
                <w:webHidden/>
              </w:rPr>
              <w:fldChar w:fldCharType="end"/>
            </w:r>
          </w:hyperlink>
        </w:p>
        <w:p w:rsidR="00AD3D65" w:rsidRDefault="00EB35B4">
          <w:pPr>
            <w:pStyle w:val="Verzeichnis3"/>
            <w:tabs>
              <w:tab w:val="right" w:leader="dot" w:pos="9231"/>
            </w:tabs>
            <w:rPr>
              <w:rFonts w:asciiTheme="minorHAnsi" w:eastAsiaTheme="minorEastAsia" w:hAnsiTheme="minorHAnsi"/>
              <w:noProof/>
              <w:sz w:val="22"/>
              <w:lang w:eastAsia="de-DE"/>
            </w:rPr>
          </w:pPr>
          <w:hyperlink w:anchor="_Toc13216663" w:history="1">
            <w:r w:rsidR="00AD3D65" w:rsidRPr="00435235">
              <w:rPr>
                <w:rStyle w:val="Hyperlink"/>
                <w:noProof/>
              </w:rPr>
              <w:t>Vereinbarkeit von Familie und Beruf</w:t>
            </w:r>
            <w:r w:rsidR="00AD3D65">
              <w:rPr>
                <w:noProof/>
                <w:webHidden/>
              </w:rPr>
              <w:tab/>
            </w:r>
            <w:r w:rsidR="00AD3D65">
              <w:rPr>
                <w:noProof/>
                <w:webHidden/>
              </w:rPr>
              <w:fldChar w:fldCharType="begin"/>
            </w:r>
            <w:r w:rsidR="00AD3D65">
              <w:rPr>
                <w:noProof/>
                <w:webHidden/>
              </w:rPr>
              <w:instrText xml:space="preserve"> PAGEREF _Toc13216663 \h </w:instrText>
            </w:r>
            <w:r w:rsidR="00AD3D65">
              <w:rPr>
                <w:noProof/>
                <w:webHidden/>
              </w:rPr>
            </w:r>
            <w:r w:rsidR="00AD3D65">
              <w:rPr>
                <w:noProof/>
                <w:webHidden/>
              </w:rPr>
              <w:fldChar w:fldCharType="separate"/>
            </w:r>
            <w:r w:rsidR="00FB6C18">
              <w:rPr>
                <w:noProof/>
                <w:webHidden/>
              </w:rPr>
              <w:t>5</w:t>
            </w:r>
            <w:r w:rsidR="00AD3D65">
              <w:rPr>
                <w:noProof/>
                <w:webHidden/>
              </w:rPr>
              <w:fldChar w:fldCharType="end"/>
            </w:r>
          </w:hyperlink>
        </w:p>
        <w:p w:rsidR="00AD3D65" w:rsidRDefault="00EB35B4">
          <w:pPr>
            <w:pStyle w:val="Verzeichnis3"/>
            <w:tabs>
              <w:tab w:val="right" w:leader="dot" w:pos="9231"/>
            </w:tabs>
            <w:rPr>
              <w:rFonts w:asciiTheme="minorHAnsi" w:eastAsiaTheme="minorEastAsia" w:hAnsiTheme="minorHAnsi"/>
              <w:noProof/>
              <w:sz w:val="22"/>
              <w:lang w:eastAsia="de-DE"/>
            </w:rPr>
          </w:pPr>
          <w:hyperlink w:anchor="_Toc13216664" w:history="1">
            <w:r w:rsidR="00AD3D65" w:rsidRPr="00435235">
              <w:rPr>
                <w:rStyle w:val="Hyperlink"/>
                <w:noProof/>
              </w:rPr>
              <w:t>Die Sandwich-Generation</w:t>
            </w:r>
            <w:r w:rsidR="00AD3D65">
              <w:rPr>
                <w:noProof/>
                <w:webHidden/>
              </w:rPr>
              <w:tab/>
            </w:r>
            <w:r w:rsidR="00AD3D65">
              <w:rPr>
                <w:noProof/>
                <w:webHidden/>
              </w:rPr>
              <w:fldChar w:fldCharType="begin"/>
            </w:r>
            <w:r w:rsidR="00AD3D65">
              <w:rPr>
                <w:noProof/>
                <w:webHidden/>
              </w:rPr>
              <w:instrText xml:space="preserve"> PAGEREF _Toc13216664 \h </w:instrText>
            </w:r>
            <w:r w:rsidR="00AD3D65">
              <w:rPr>
                <w:noProof/>
                <w:webHidden/>
              </w:rPr>
            </w:r>
            <w:r w:rsidR="00AD3D65">
              <w:rPr>
                <w:noProof/>
                <w:webHidden/>
              </w:rPr>
              <w:fldChar w:fldCharType="separate"/>
            </w:r>
            <w:r w:rsidR="00FB6C18">
              <w:rPr>
                <w:noProof/>
                <w:webHidden/>
              </w:rPr>
              <w:t>6</w:t>
            </w:r>
            <w:r w:rsidR="00AD3D65">
              <w:rPr>
                <w:noProof/>
                <w:webHidden/>
              </w:rPr>
              <w:fldChar w:fldCharType="end"/>
            </w:r>
          </w:hyperlink>
        </w:p>
        <w:p w:rsidR="00AD3D65" w:rsidRDefault="00EB35B4">
          <w:pPr>
            <w:pStyle w:val="Verzeichnis3"/>
            <w:tabs>
              <w:tab w:val="right" w:leader="dot" w:pos="9231"/>
            </w:tabs>
            <w:rPr>
              <w:rFonts w:asciiTheme="minorHAnsi" w:eastAsiaTheme="minorEastAsia" w:hAnsiTheme="minorHAnsi"/>
              <w:noProof/>
              <w:sz w:val="22"/>
              <w:lang w:eastAsia="de-DE"/>
            </w:rPr>
          </w:pPr>
          <w:hyperlink w:anchor="_Toc13216665" w:history="1">
            <w:r w:rsidR="00AD3D65" w:rsidRPr="00435235">
              <w:rPr>
                <w:rStyle w:val="Hyperlink"/>
                <w:noProof/>
              </w:rPr>
              <w:t>Betreuung</w:t>
            </w:r>
            <w:r w:rsidR="00AD3D65">
              <w:rPr>
                <w:noProof/>
                <w:webHidden/>
              </w:rPr>
              <w:tab/>
            </w:r>
            <w:r w:rsidR="00AD3D65">
              <w:rPr>
                <w:noProof/>
                <w:webHidden/>
              </w:rPr>
              <w:fldChar w:fldCharType="begin"/>
            </w:r>
            <w:r w:rsidR="00AD3D65">
              <w:rPr>
                <w:noProof/>
                <w:webHidden/>
              </w:rPr>
              <w:instrText xml:space="preserve"> PAGEREF _Toc13216665 \h </w:instrText>
            </w:r>
            <w:r w:rsidR="00AD3D65">
              <w:rPr>
                <w:noProof/>
                <w:webHidden/>
              </w:rPr>
            </w:r>
            <w:r w:rsidR="00AD3D65">
              <w:rPr>
                <w:noProof/>
                <w:webHidden/>
              </w:rPr>
              <w:fldChar w:fldCharType="separate"/>
            </w:r>
            <w:r w:rsidR="00FB6C18">
              <w:rPr>
                <w:noProof/>
                <w:webHidden/>
              </w:rPr>
              <w:t>8</w:t>
            </w:r>
            <w:r w:rsidR="00AD3D65">
              <w:rPr>
                <w:noProof/>
                <w:webHidden/>
              </w:rPr>
              <w:fldChar w:fldCharType="end"/>
            </w:r>
          </w:hyperlink>
        </w:p>
        <w:p w:rsidR="00AD3D65" w:rsidRDefault="00EB35B4">
          <w:pPr>
            <w:pStyle w:val="Verzeichnis3"/>
            <w:tabs>
              <w:tab w:val="right" w:leader="dot" w:pos="9231"/>
            </w:tabs>
            <w:rPr>
              <w:rFonts w:asciiTheme="minorHAnsi" w:eastAsiaTheme="minorEastAsia" w:hAnsiTheme="minorHAnsi"/>
              <w:noProof/>
              <w:sz w:val="22"/>
              <w:lang w:eastAsia="de-DE"/>
            </w:rPr>
          </w:pPr>
          <w:hyperlink w:anchor="_Toc13216666" w:history="1">
            <w:r w:rsidR="00AD3D65" w:rsidRPr="00435235">
              <w:rPr>
                <w:rStyle w:val="Hyperlink"/>
                <w:noProof/>
              </w:rPr>
              <w:t>Bohnenstangenfamilien</w:t>
            </w:r>
            <w:r w:rsidR="00AD3D65">
              <w:rPr>
                <w:noProof/>
                <w:webHidden/>
              </w:rPr>
              <w:tab/>
            </w:r>
            <w:r w:rsidR="00AD3D65">
              <w:rPr>
                <w:noProof/>
                <w:webHidden/>
              </w:rPr>
              <w:fldChar w:fldCharType="begin"/>
            </w:r>
            <w:r w:rsidR="00AD3D65">
              <w:rPr>
                <w:noProof/>
                <w:webHidden/>
              </w:rPr>
              <w:instrText xml:space="preserve"> PAGEREF _Toc13216666 \h </w:instrText>
            </w:r>
            <w:r w:rsidR="00AD3D65">
              <w:rPr>
                <w:noProof/>
                <w:webHidden/>
              </w:rPr>
            </w:r>
            <w:r w:rsidR="00AD3D65">
              <w:rPr>
                <w:noProof/>
                <w:webHidden/>
              </w:rPr>
              <w:fldChar w:fldCharType="separate"/>
            </w:r>
            <w:r w:rsidR="00FB6C18">
              <w:rPr>
                <w:noProof/>
                <w:webHidden/>
              </w:rPr>
              <w:t>9</w:t>
            </w:r>
            <w:r w:rsidR="00AD3D65">
              <w:rPr>
                <w:noProof/>
                <w:webHidden/>
              </w:rPr>
              <w:fldChar w:fldCharType="end"/>
            </w:r>
          </w:hyperlink>
        </w:p>
        <w:p w:rsidR="00AD3D65" w:rsidRDefault="00EB35B4">
          <w:pPr>
            <w:pStyle w:val="Verzeichnis3"/>
            <w:tabs>
              <w:tab w:val="right" w:leader="dot" w:pos="9231"/>
            </w:tabs>
            <w:rPr>
              <w:rFonts w:asciiTheme="minorHAnsi" w:eastAsiaTheme="minorEastAsia" w:hAnsiTheme="minorHAnsi"/>
              <w:noProof/>
              <w:sz w:val="22"/>
              <w:lang w:eastAsia="de-DE"/>
            </w:rPr>
          </w:pPr>
          <w:hyperlink w:anchor="_Toc13216667" w:history="1">
            <w:r w:rsidR="00AD3D65" w:rsidRPr="00435235">
              <w:rPr>
                <w:rStyle w:val="Hyperlink"/>
                <w:noProof/>
              </w:rPr>
              <w:t>Multilokale Mehrgenerationen-Haushalte</w:t>
            </w:r>
            <w:r w:rsidR="00AD3D65">
              <w:rPr>
                <w:noProof/>
                <w:webHidden/>
              </w:rPr>
              <w:tab/>
            </w:r>
            <w:r w:rsidR="00AD3D65">
              <w:rPr>
                <w:noProof/>
                <w:webHidden/>
              </w:rPr>
              <w:fldChar w:fldCharType="begin"/>
            </w:r>
            <w:r w:rsidR="00AD3D65">
              <w:rPr>
                <w:noProof/>
                <w:webHidden/>
              </w:rPr>
              <w:instrText xml:space="preserve"> PAGEREF _Toc13216667 \h </w:instrText>
            </w:r>
            <w:r w:rsidR="00AD3D65">
              <w:rPr>
                <w:noProof/>
                <w:webHidden/>
              </w:rPr>
            </w:r>
            <w:r w:rsidR="00AD3D65">
              <w:rPr>
                <w:noProof/>
                <w:webHidden/>
              </w:rPr>
              <w:fldChar w:fldCharType="separate"/>
            </w:r>
            <w:r w:rsidR="00FB6C18">
              <w:rPr>
                <w:noProof/>
                <w:webHidden/>
              </w:rPr>
              <w:t>9</w:t>
            </w:r>
            <w:r w:rsidR="00AD3D65">
              <w:rPr>
                <w:noProof/>
                <w:webHidden/>
              </w:rPr>
              <w:fldChar w:fldCharType="end"/>
            </w:r>
          </w:hyperlink>
        </w:p>
        <w:p w:rsidR="00AD3D65" w:rsidRDefault="00EB35B4">
          <w:pPr>
            <w:pStyle w:val="Verzeichnis2"/>
            <w:rPr>
              <w:rFonts w:asciiTheme="minorHAnsi" w:eastAsiaTheme="minorEastAsia" w:hAnsiTheme="minorHAnsi"/>
              <w:noProof/>
              <w:sz w:val="22"/>
              <w:lang w:eastAsia="de-DE"/>
            </w:rPr>
          </w:pPr>
          <w:hyperlink w:anchor="_Toc13216668" w:history="1">
            <w:r w:rsidR="00AD3D65" w:rsidRPr="00435235">
              <w:rPr>
                <w:rStyle w:val="Hyperlink"/>
                <w:rFonts w:eastAsia="Times New Roman" w:cs="Calibri"/>
                <w:b/>
                <w:bCs/>
                <w:noProof/>
              </w:rPr>
              <w:t>III.</w:t>
            </w:r>
            <w:r w:rsidR="00AD3D65">
              <w:rPr>
                <w:rFonts w:asciiTheme="minorHAnsi" w:eastAsiaTheme="minorEastAsia" w:hAnsiTheme="minorHAnsi"/>
                <w:noProof/>
                <w:sz w:val="22"/>
                <w:lang w:eastAsia="de-DE"/>
              </w:rPr>
              <w:tab/>
            </w:r>
            <w:r w:rsidR="00AD3D65" w:rsidRPr="00435235">
              <w:rPr>
                <w:rStyle w:val="Hyperlink"/>
                <w:rFonts w:eastAsia="Times New Roman" w:cs="Calibri"/>
                <w:b/>
                <w:bCs/>
                <w:noProof/>
              </w:rPr>
              <w:t>Selbsthilfe und Familie</w:t>
            </w:r>
            <w:r w:rsidR="00AD3D65">
              <w:rPr>
                <w:noProof/>
                <w:webHidden/>
              </w:rPr>
              <w:tab/>
            </w:r>
            <w:r w:rsidR="00AD3D65">
              <w:rPr>
                <w:noProof/>
                <w:webHidden/>
              </w:rPr>
              <w:fldChar w:fldCharType="begin"/>
            </w:r>
            <w:r w:rsidR="00AD3D65">
              <w:rPr>
                <w:noProof/>
                <w:webHidden/>
              </w:rPr>
              <w:instrText xml:space="preserve"> PAGEREF _Toc13216668 \h </w:instrText>
            </w:r>
            <w:r w:rsidR="00AD3D65">
              <w:rPr>
                <w:noProof/>
                <w:webHidden/>
              </w:rPr>
            </w:r>
            <w:r w:rsidR="00AD3D65">
              <w:rPr>
                <w:noProof/>
                <w:webHidden/>
              </w:rPr>
              <w:fldChar w:fldCharType="separate"/>
            </w:r>
            <w:r w:rsidR="00FB6C18">
              <w:rPr>
                <w:noProof/>
                <w:webHidden/>
              </w:rPr>
              <w:t>11</w:t>
            </w:r>
            <w:r w:rsidR="00AD3D65">
              <w:rPr>
                <w:noProof/>
                <w:webHidden/>
              </w:rPr>
              <w:fldChar w:fldCharType="end"/>
            </w:r>
          </w:hyperlink>
        </w:p>
        <w:p w:rsidR="00AD3D65" w:rsidRDefault="00EB35B4">
          <w:pPr>
            <w:pStyle w:val="Verzeichnis2"/>
            <w:rPr>
              <w:rFonts w:asciiTheme="minorHAnsi" w:eastAsiaTheme="minorEastAsia" w:hAnsiTheme="minorHAnsi"/>
              <w:noProof/>
              <w:sz w:val="22"/>
              <w:lang w:eastAsia="de-DE"/>
            </w:rPr>
          </w:pPr>
          <w:hyperlink w:anchor="_Toc13216669" w:history="1">
            <w:r w:rsidR="00AD3D65" w:rsidRPr="00435235">
              <w:rPr>
                <w:rStyle w:val="Hyperlink"/>
                <w:rFonts w:eastAsia="Times New Roman" w:cs="Calibri"/>
                <w:b/>
                <w:bCs/>
                <w:noProof/>
              </w:rPr>
              <w:t>IV.</w:t>
            </w:r>
            <w:r w:rsidR="00AD3D65">
              <w:rPr>
                <w:rFonts w:asciiTheme="minorHAnsi" w:eastAsiaTheme="minorEastAsia" w:hAnsiTheme="minorHAnsi"/>
                <w:noProof/>
                <w:sz w:val="22"/>
                <w:lang w:eastAsia="de-DE"/>
              </w:rPr>
              <w:tab/>
            </w:r>
            <w:r w:rsidR="00AD3D65" w:rsidRPr="00435235">
              <w:rPr>
                <w:rStyle w:val="Hyperlink"/>
                <w:rFonts w:eastAsia="Times New Roman" w:cs="Calibri"/>
                <w:b/>
                <w:bCs/>
                <w:noProof/>
              </w:rPr>
              <w:t>Bedeutung des Wandels für die Selbsthilfe</w:t>
            </w:r>
            <w:r w:rsidR="00AD3D65">
              <w:rPr>
                <w:noProof/>
                <w:webHidden/>
              </w:rPr>
              <w:tab/>
            </w:r>
            <w:r w:rsidR="00AD3D65">
              <w:rPr>
                <w:noProof/>
                <w:webHidden/>
              </w:rPr>
              <w:fldChar w:fldCharType="begin"/>
            </w:r>
            <w:r w:rsidR="00AD3D65">
              <w:rPr>
                <w:noProof/>
                <w:webHidden/>
              </w:rPr>
              <w:instrText xml:space="preserve"> PAGEREF _Toc13216669 \h </w:instrText>
            </w:r>
            <w:r w:rsidR="00AD3D65">
              <w:rPr>
                <w:noProof/>
                <w:webHidden/>
              </w:rPr>
            </w:r>
            <w:r w:rsidR="00AD3D65">
              <w:rPr>
                <w:noProof/>
                <w:webHidden/>
              </w:rPr>
              <w:fldChar w:fldCharType="separate"/>
            </w:r>
            <w:r w:rsidR="00FB6C18">
              <w:rPr>
                <w:noProof/>
                <w:webHidden/>
              </w:rPr>
              <w:t>13</w:t>
            </w:r>
            <w:r w:rsidR="00AD3D65">
              <w:rPr>
                <w:noProof/>
                <w:webHidden/>
              </w:rPr>
              <w:fldChar w:fldCharType="end"/>
            </w:r>
          </w:hyperlink>
        </w:p>
        <w:p w:rsidR="00AD3D65" w:rsidRDefault="00EB35B4">
          <w:pPr>
            <w:pStyle w:val="Verzeichnis3"/>
            <w:tabs>
              <w:tab w:val="right" w:leader="dot" w:pos="9231"/>
            </w:tabs>
            <w:rPr>
              <w:rFonts w:asciiTheme="minorHAnsi" w:eastAsiaTheme="minorEastAsia" w:hAnsiTheme="minorHAnsi"/>
              <w:noProof/>
              <w:sz w:val="22"/>
              <w:lang w:eastAsia="de-DE"/>
            </w:rPr>
          </w:pPr>
          <w:hyperlink w:anchor="_Toc13216670" w:history="1">
            <w:r w:rsidR="00AD3D65" w:rsidRPr="00435235">
              <w:rPr>
                <w:rStyle w:val="Hyperlink"/>
                <w:noProof/>
              </w:rPr>
              <w:t>Nachwuchskräfte in der Selbsthilfe finden</w:t>
            </w:r>
            <w:r w:rsidR="00AD3D65">
              <w:rPr>
                <w:noProof/>
                <w:webHidden/>
              </w:rPr>
              <w:tab/>
            </w:r>
            <w:r w:rsidR="00AD3D65">
              <w:rPr>
                <w:noProof/>
                <w:webHidden/>
              </w:rPr>
              <w:fldChar w:fldCharType="begin"/>
            </w:r>
            <w:r w:rsidR="00AD3D65">
              <w:rPr>
                <w:noProof/>
                <w:webHidden/>
              </w:rPr>
              <w:instrText xml:space="preserve"> PAGEREF _Toc13216670 \h </w:instrText>
            </w:r>
            <w:r w:rsidR="00AD3D65">
              <w:rPr>
                <w:noProof/>
                <w:webHidden/>
              </w:rPr>
            </w:r>
            <w:r w:rsidR="00AD3D65">
              <w:rPr>
                <w:noProof/>
                <w:webHidden/>
              </w:rPr>
              <w:fldChar w:fldCharType="separate"/>
            </w:r>
            <w:r w:rsidR="00FB6C18">
              <w:rPr>
                <w:noProof/>
                <w:webHidden/>
              </w:rPr>
              <w:t>13</w:t>
            </w:r>
            <w:r w:rsidR="00AD3D65">
              <w:rPr>
                <w:noProof/>
                <w:webHidden/>
              </w:rPr>
              <w:fldChar w:fldCharType="end"/>
            </w:r>
          </w:hyperlink>
        </w:p>
        <w:p w:rsidR="00AD3D65" w:rsidRDefault="00EB35B4">
          <w:pPr>
            <w:pStyle w:val="Verzeichnis3"/>
            <w:tabs>
              <w:tab w:val="right" w:leader="dot" w:pos="9231"/>
            </w:tabs>
            <w:rPr>
              <w:rFonts w:asciiTheme="minorHAnsi" w:eastAsiaTheme="minorEastAsia" w:hAnsiTheme="minorHAnsi"/>
              <w:noProof/>
              <w:sz w:val="22"/>
              <w:lang w:eastAsia="de-DE"/>
            </w:rPr>
          </w:pPr>
          <w:hyperlink w:anchor="_Toc13216671" w:history="1">
            <w:r w:rsidR="00AD3D65" w:rsidRPr="00435235">
              <w:rPr>
                <w:rStyle w:val="Hyperlink"/>
                <w:noProof/>
              </w:rPr>
              <w:t>Erwerbstätigkeit nach dem Renteneintritt</w:t>
            </w:r>
            <w:r w:rsidR="00AD3D65">
              <w:rPr>
                <w:noProof/>
                <w:webHidden/>
              </w:rPr>
              <w:tab/>
            </w:r>
            <w:r w:rsidR="00AD3D65">
              <w:rPr>
                <w:noProof/>
                <w:webHidden/>
              </w:rPr>
              <w:fldChar w:fldCharType="begin"/>
            </w:r>
            <w:r w:rsidR="00AD3D65">
              <w:rPr>
                <w:noProof/>
                <w:webHidden/>
              </w:rPr>
              <w:instrText xml:space="preserve"> PAGEREF _Toc13216671 \h </w:instrText>
            </w:r>
            <w:r w:rsidR="00AD3D65">
              <w:rPr>
                <w:noProof/>
                <w:webHidden/>
              </w:rPr>
            </w:r>
            <w:r w:rsidR="00AD3D65">
              <w:rPr>
                <w:noProof/>
                <w:webHidden/>
              </w:rPr>
              <w:fldChar w:fldCharType="separate"/>
            </w:r>
            <w:r w:rsidR="00FB6C18">
              <w:rPr>
                <w:noProof/>
                <w:webHidden/>
              </w:rPr>
              <w:t>14</w:t>
            </w:r>
            <w:r w:rsidR="00AD3D65">
              <w:rPr>
                <w:noProof/>
                <w:webHidden/>
              </w:rPr>
              <w:fldChar w:fldCharType="end"/>
            </w:r>
          </w:hyperlink>
        </w:p>
        <w:p w:rsidR="00AD3D65" w:rsidRDefault="00EB35B4">
          <w:pPr>
            <w:pStyle w:val="Verzeichnis3"/>
            <w:tabs>
              <w:tab w:val="right" w:leader="dot" w:pos="9231"/>
            </w:tabs>
            <w:rPr>
              <w:rFonts w:asciiTheme="minorHAnsi" w:eastAsiaTheme="minorEastAsia" w:hAnsiTheme="minorHAnsi"/>
              <w:noProof/>
              <w:sz w:val="22"/>
              <w:lang w:eastAsia="de-DE"/>
            </w:rPr>
          </w:pPr>
          <w:hyperlink w:anchor="_Toc13216672" w:history="1">
            <w:r w:rsidR="00AD3D65" w:rsidRPr="00435235">
              <w:rPr>
                <w:rStyle w:val="Hyperlink"/>
                <w:noProof/>
              </w:rPr>
              <w:t>Die Sandwich- Generation</w:t>
            </w:r>
            <w:r w:rsidR="00AD3D65">
              <w:rPr>
                <w:noProof/>
                <w:webHidden/>
              </w:rPr>
              <w:tab/>
            </w:r>
            <w:r w:rsidR="00AD3D65">
              <w:rPr>
                <w:noProof/>
                <w:webHidden/>
              </w:rPr>
              <w:fldChar w:fldCharType="begin"/>
            </w:r>
            <w:r w:rsidR="00AD3D65">
              <w:rPr>
                <w:noProof/>
                <w:webHidden/>
              </w:rPr>
              <w:instrText xml:space="preserve"> PAGEREF _Toc13216672 \h </w:instrText>
            </w:r>
            <w:r w:rsidR="00AD3D65">
              <w:rPr>
                <w:noProof/>
                <w:webHidden/>
              </w:rPr>
            </w:r>
            <w:r w:rsidR="00AD3D65">
              <w:rPr>
                <w:noProof/>
                <w:webHidden/>
              </w:rPr>
              <w:fldChar w:fldCharType="separate"/>
            </w:r>
            <w:r w:rsidR="00FB6C18">
              <w:rPr>
                <w:noProof/>
                <w:webHidden/>
              </w:rPr>
              <w:t>14</w:t>
            </w:r>
            <w:r w:rsidR="00AD3D65">
              <w:rPr>
                <w:noProof/>
                <w:webHidden/>
              </w:rPr>
              <w:fldChar w:fldCharType="end"/>
            </w:r>
          </w:hyperlink>
        </w:p>
        <w:p w:rsidR="00AD3D65" w:rsidRDefault="00EB35B4">
          <w:pPr>
            <w:pStyle w:val="Verzeichnis3"/>
            <w:tabs>
              <w:tab w:val="right" w:leader="dot" w:pos="9231"/>
            </w:tabs>
            <w:rPr>
              <w:rFonts w:asciiTheme="minorHAnsi" w:eastAsiaTheme="minorEastAsia" w:hAnsiTheme="minorHAnsi"/>
              <w:noProof/>
              <w:sz w:val="22"/>
              <w:lang w:eastAsia="de-DE"/>
            </w:rPr>
          </w:pPr>
          <w:hyperlink w:anchor="_Toc13216673" w:history="1">
            <w:r w:rsidR="00AD3D65" w:rsidRPr="00435235">
              <w:rPr>
                <w:rStyle w:val="Hyperlink"/>
                <w:noProof/>
              </w:rPr>
              <w:t>Der demografische Wandel - Eine Chance für die Selbsthilfe?</w:t>
            </w:r>
            <w:r w:rsidR="00AD3D65">
              <w:rPr>
                <w:noProof/>
                <w:webHidden/>
              </w:rPr>
              <w:tab/>
            </w:r>
            <w:r w:rsidR="00AD3D65">
              <w:rPr>
                <w:noProof/>
                <w:webHidden/>
              </w:rPr>
              <w:fldChar w:fldCharType="begin"/>
            </w:r>
            <w:r w:rsidR="00AD3D65">
              <w:rPr>
                <w:noProof/>
                <w:webHidden/>
              </w:rPr>
              <w:instrText xml:space="preserve"> PAGEREF _Toc13216673 \h </w:instrText>
            </w:r>
            <w:r w:rsidR="00AD3D65">
              <w:rPr>
                <w:noProof/>
                <w:webHidden/>
              </w:rPr>
            </w:r>
            <w:r w:rsidR="00AD3D65">
              <w:rPr>
                <w:noProof/>
                <w:webHidden/>
              </w:rPr>
              <w:fldChar w:fldCharType="separate"/>
            </w:r>
            <w:r w:rsidR="00FB6C18">
              <w:rPr>
                <w:noProof/>
                <w:webHidden/>
              </w:rPr>
              <w:t>16</w:t>
            </w:r>
            <w:r w:rsidR="00AD3D65">
              <w:rPr>
                <w:noProof/>
                <w:webHidden/>
              </w:rPr>
              <w:fldChar w:fldCharType="end"/>
            </w:r>
          </w:hyperlink>
        </w:p>
        <w:p w:rsidR="00AD3D65" w:rsidRDefault="00EB35B4">
          <w:pPr>
            <w:pStyle w:val="Verzeichnis3"/>
            <w:tabs>
              <w:tab w:val="right" w:leader="dot" w:pos="9231"/>
            </w:tabs>
            <w:rPr>
              <w:rFonts w:asciiTheme="minorHAnsi" w:eastAsiaTheme="minorEastAsia" w:hAnsiTheme="minorHAnsi"/>
              <w:noProof/>
              <w:sz w:val="22"/>
              <w:lang w:eastAsia="de-DE"/>
            </w:rPr>
          </w:pPr>
          <w:hyperlink w:anchor="_Toc13216674" w:history="1">
            <w:r w:rsidR="00AD3D65" w:rsidRPr="00435235">
              <w:rPr>
                <w:rStyle w:val="Hyperlink"/>
                <w:noProof/>
              </w:rPr>
              <w:t>Familienorientierte Selbsthilfearbeit</w:t>
            </w:r>
            <w:r w:rsidR="00AD3D65">
              <w:rPr>
                <w:noProof/>
                <w:webHidden/>
              </w:rPr>
              <w:tab/>
            </w:r>
            <w:r w:rsidR="00AD3D65">
              <w:rPr>
                <w:noProof/>
                <w:webHidden/>
              </w:rPr>
              <w:fldChar w:fldCharType="begin"/>
            </w:r>
            <w:r w:rsidR="00AD3D65">
              <w:rPr>
                <w:noProof/>
                <w:webHidden/>
              </w:rPr>
              <w:instrText xml:space="preserve"> PAGEREF _Toc13216674 \h </w:instrText>
            </w:r>
            <w:r w:rsidR="00AD3D65">
              <w:rPr>
                <w:noProof/>
                <w:webHidden/>
              </w:rPr>
            </w:r>
            <w:r w:rsidR="00AD3D65">
              <w:rPr>
                <w:noProof/>
                <w:webHidden/>
              </w:rPr>
              <w:fldChar w:fldCharType="separate"/>
            </w:r>
            <w:r w:rsidR="00FB6C18">
              <w:rPr>
                <w:noProof/>
                <w:webHidden/>
              </w:rPr>
              <w:t>16</w:t>
            </w:r>
            <w:r w:rsidR="00AD3D65">
              <w:rPr>
                <w:noProof/>
                <w:webHidden/>
              </w:rPr>
              <w:fldChar w:fldCharType="end"/>
            </w:r>
          </w:hyperlink>
        </w:p>
        <w:p w:rsidR="00AD3D65" w:rsidRDefault="00EB35B4">
          <w:pPr>
            <w:pStyle w:val="Verzeichnis3"/>
            <w:tabs>
              <w:tab w:val="right" w:leader="dot" w:pos="9231"/>
            </w:tabs>
            <w:rPr>
              <w:rFonts w:asciiTheme="minorHAnsi" w:eastAsiaTheme="minorEastAsia" w:hAnsiTheme="minorHAnsi"/>
              <w:noProof/>
              <w:sz w:val="22"/>
              <w:lang w:eastAsia="de-DE"/>
            </w:rPr>
          </w:pPr>
          <w:hyperlink w:anchor="_Toc13216675" w:history="1">
            <w:r w:rsidR="00AD3D65" w:rsidRPr="00435235">
              <w:rPr>
                <w:rStyle w:val="Hyperlink"/>
                <w:noProof/>
              </w:rPr>
              <w:t>Strategien gegen Vereinsamung</w:t>
            </w:r>
            <w:r w:rsidR="00AD3D65">
              <w:rPr>
                <w:noProof/>
                <w:webHidden/>
              </w:rPr>
              <w:tab/>
            </w:r>
            <w:r w:rsidR="00AD3D65">
              <w:rPr>
                <w:noProof/>
                <w:webHidden/>
              </w:rPr>
              <w:fldChar w:fldCharType="begin"/>
            </w:r>
            <w:r w:rsidR="00AD3D65">
              <w:rPr>
                <w:noProof/>
                <w:webHidden/>
              </w:rPr>
              <w:instrText xml:space="preserve"> PAGEREF _Toc13216675 \h </w:instrText>
            </w:r>
            <w:r w:rsidR="00AD3D65">
              <w:rPr>
                <w:noProof/>
                <w:webHidden/>
              </w:rPr>
            </w:r>
            <w:r w:rsidR="00AD3D65">
              <w:rPr>
                <w:noProof/>
                <w:webHidden/>
              </w:rPr>
              <w:fldChar w:fldCharType="separate"/>
            </w:r>
            <w:r w:rsidR="00FB6C18">
              <w:rPr>
                <w:noProof/>
                <w:webHidden/>
              </w:rPr>
              <w:t>16</w:t>
            </w:r>
            <w:r w:rsidR="00AD3D65">
              <w:rPr>
                <w:noProof/>
                <w:webHidden/>
              </w:rPr>
              <w:fldChar w:fldCharType="end"/>
            </w:r>
          </w:hyperlink>
        </w:p>
        <w:p w:rsidR="00AD3D65" w:rsidRDefault="00EB35B4">
          <w:pPr>
            <w:pStyle w:val="Verzeichnis3"/>
            <w:tabs>
              <w:tab w:val="right" w:leader="dot" w:pos="9231"/>
            </w:tabs>
            <w:rPr>
              <w:rFonts w:asciiTheme="minorHAnsi" w:eastAsiaTheme="minorEastAsia" w:hAnsiTheme="minorHAnsi"/>
              <w:noProof/>
              <w:sz w:val="22"/>
              <w:lang w:eastAsia="de-DE"/>
            </w:rPr>
          </w:pPr>
          <w:hyperlink w:anchor="_Toc13216676" w:history="1">
            <w:r w:rsidR="00AD3D65" w:rsidRPr="00435235">
              <w:rPr>
                <w:rStyle w:val="Hyperlink"/>
                <w:noProof/>
              </w:rPr>
              <w:t>Synergien durch Selbsthilfezentren</w:t>
            </w:r>
            <w:r w:rsidR="00AD3D65">
              <w:rPr>
                <w:noProof/>
                <w:webHidden/>
              </w:rPr>
              <w:tab/>
            </w:r>
            <w:r w:rsidR="00AD3D65">
              <w:rPr>
                <w:noProof/>
                <w:webHidden/>
              </w:rPr>
              <w:fldChar w:fldCharType="begin"/>
            </w:r>
            <w:r w:rsidR="00AD3D65">
              <w:rPr>
                <w:noProof/>
                <w:webHidden/>
              </w:rPr>
              <w:instrText xml:space="preserve"> PAGEREF _Toc13216676 \h </w:instrText>
            </w:r>
            <w:r w:rsidR="00AD3D65">
              <w:rPr>
                <w:noProof/>
                <w:webHidden/>
              </w:rPr>
            </w:r>
            <w:r w:rsidR="00AD3D65">
              <w:rPr>
                <w:noProof/>
                <w:webHidden/>
              </w:rPr>
              <w:fldChar w:fldCharType="separate"/>
            </w:r>
            <w:r w:rsidR="00FB6C18">
              <w:rPr>
                <w:noProof/>
                <w:webHidden/>
              </w:rPr>
              <w:t>17</w:t>
            </w:r>
            <w:r w:rsidR="00AD3D65">
              <w:rPr>
                <w:noProof/>
                <w:webHidden/>
              </w:rPr>
              <w:fldChar w:fldCharType="end"/>
            </w:r>
          </w:hyperlink>
        </w:p>
        <w:p w:rsidR="00AD3D65" w:rsidRDefault="00EB35B4">
          <w:pPr>
            <w:pStyle w:val="Verzeichnis3"/>
            <w:tabs>
              <w:tab w:val="right" w:leader="dot" w:pos="9231"/>
            </w:tabs>
            <w:rPr>
              <w:rFonts w:asciiTheme="minorHAnsi" w:eastAsiaTheme="minorEastAsia" w:hAnsiTheme="minorHAnsi"/>
              <w:noProof/>
              <w:sz w:val="22"/>
              <w:lang w:eastAsia="de-DE"/>
            </w:rPr>
          </w:pPr>
          <w:hyperlink w:anchor="_Toc13216677" w:history="1">
            <w:r w:rsidR="00AD3D65" w:rsidRPr="00435235">
              <w:rPr>
                <w:rStyle w:val="Hyperlink"/>
                <w:noProof/>
              </w:rPr>
              <w:t>Solidaritätsengagement</w:t>
            </w:r>
            <w:r w:rsidR="00AD3D65">
              <w:rPr>
                <w:noProof/>
                <w:webHidden/>
              </w:rPr>
              <w:tab/>
            </w:r>
            <w:r w:rsidR="00AD3D65">
              <w:rPr>
                <w:noProof/>
                <w:webHidden/>
              </w:rPr>
              <w:fldChar w:fldCharType="begin"/>
            </w:r>
            <w:r w:rsidR="00AD3D65">
              <w:rPr>
                <w:noProof/>
                <w:webHidden/>
              </w:rPr>
              <w:instrText xml:space="preserve"> PAGEREF _Toc13216677 \h </w:instrText>
            </w:r>
            <w:r w:rsidR="00AD3D65">
              <w:rPr>
                <w:noProof/>
                <w:webHidden/>
              </w:rPr>
            </w:r>
            <w:r w:rsidR="00AD3D65">
              <w:rPr>
                <w:noProof/>
                <w:webHidden/>
              </w:rPr>
              <w:fldChar w:fldCharType="separate"/>
            </w:r>
            <w:r w:rsidR="00FB6C18">
              <w:rPr>
                <w:noProof/>
                <w:webHidden/>
              </w:rPr>
              <w:t>17</w:t>
            </w:r>
            <w:r w:rsidR="00AD3D65">
              <w:rPr>
                <w:noProof/>
                <w:webHidden/>
              </w:rPr>
              <w:fldChar w:fldCharType="end"/>
            </w:r>
          </w:hyperlink>
        </w:p>
        <w:p w:rsidR="00AD3D65" w:rsidRDefault="00EB35B4">
          <w:pPr>
            <w:pStyle w:val="Verzeichnis3"/>
            <w:tabs>
              <w:tab w:val="right" w:leader="dot" w:pos="9231"/>
            </w:tabs>
            <w:rPr>
              <w:rFonts w:asciiTheme="minorHAnsi" w:eastAsiaTheme="minorEastAsia" w:hAnsiTheme="minorHAnsi"/>
              <w:noProof/>
              <w:sz w:val="22"/>
              <w:lang w:eastAsia="de-DE"/>
            </w:rPr>
          </w:pPr>
          <w:hyperlink w:anchor="_Toc13216678" w:history="1">
            <w:r w:rsidR="00AD3D65" w:rsidRPr="00435235">
              <w:rPr>
                <w:rStyle w:val="Hyperlink"/>
                <w:noProof/>
              </w:rPr>
              <w:t>Generationenvertrag</w:t>
            </w:r>
            <w:r w:rsidR="00AD3D65">
              <w:rPr>
                <w:noProof/>
                <w:webHidden/>
              </w:rPr>
              <w:tab/>
            </w:r>
            <w:r w:rsidR="00AD3D65">
              <w:rPr>
                <w:noProof/>
                <w:webHidden/>
              </w:rPr>
              <w:fldChar w:fldCharType="begin"/>
            </w:r>
            <w:r w:rsidR="00AD3D65">
              <w:rPr>
                <w:noProof/>
                <w:webHidden/>
              </w:rPr>
              <w:instrText xml:space="preserve"> PAGEREF _Toc13216678 \h </w:instrText>
            </w:r>
            <w:r w:rsidR="00AD3D65">
              <w:rPr>
                <w:noProof/>
                <w:webHidden/>
              </w:rPr>
            </w:r>
            <w:r w:rsidR="00AD3D65">
              <w:rPr>
                <w:noProof/>
                <w:webHidden/>
              </w:rPr>
              <w:fldChar w:fldCharType="separate"/>
            </w:r>
            <w:r w:rsidR="00FB6C18">
              <w:rPr>
                <w:noProof/>
                <w:webHidden/>
              </w:rPr>
              <w:t>18</w:t>
            </w:r>
            <w:r w:rsidR="00AD3D65">
              <w:rPr>
                <w:noProof/>
                <w:webHidden/>
              </w:rPr>
              <w:fldChar w:fldCharType="end"/>
            </w:r>
          </w:hyperlink>
        </w:p>
        <w:p w:rsidR="00AD3D65" w:rsidRDefault="00EB35B4">
          <w:pPr>
            <w:pStyle w:val="Verzeichnis2"/>
            <w:rPr>
              <w:rFonts w:asciiTheme="minorHAnsi" w:eastAsiaTheme="minorEastAsia" w:hAnsiTheme="minorHAnsi"/>
              <w:noProof/>
              <w:sz w:val="22"/>
              <w:lang w:eastAsia="de-DE"/>
            </w:rPr>
          </w:pPr>
          <w:hyperlink w:anchor="_Toc13216679" w:history="1">
            <w:r w:rsidR="00AD3D65" w:rsidRPr="00435235">
              <w:rPr>
                <w:rStyle w:val="Hyperlink"/>
                <w:rFonts w:eastAsia="Times New Roman" w:cs="Calibri"/>
                <w:b/>
                <w:bCs/>
                <w:noProof/>
              </w:rPr>
              <w:t>V.</w:t>
            </w:r>
            <w:r w:rsidR="00AD3D65">
              <w:rPr>
                <w:rFonts w:asciiTheme="minorHAnsi" w:eastAsiaTheme="minorEastAsia" w:hAnsiTheme="minorHAnsi"/>
                <w:noProof/>
                <w:sz w:val="22"/>
                <w:lang w:eastAsia="de-DE"/>
              </w:rPr>
              <w:tab/>
            </w:r>
            <w:r w:rsidR="00AD3D65" w:rsidRPr="00435235">
              <w:rPr>
                <w:rStyle w:val="Hyperlink"/>
                <w:rFonts w:eastAsia="Times New Roman" w:cs="Calibri"/>
                <w:b/>
                <w:bCs/>
                <w:noProof/>
              </w:rPr>
              <w:t>Zusammenfassung</w:t>
            </w:r>
            <w:r w:rsidR="00AD3D65">
              <w:rPr>
                <w:noProof/>
                <w:webHidden/>
              </w:rPr>
              <w:tab/>
            </w:r>
            <w:r w:rsidR="00AD3D65">
              <w:rPr>
                <w:noProof/>
                <w:webHidden/>
              </w:rPr>
              <w:fldChar w:fldCharType="begin"/>
            </w:r>
            <w:r w:rsidR="00AD3D65">
              <w:rPr>
                <w:noProof/>
                <w:webHidden/>
              </w:rPr>
              <w:instrText xml:space="preserve"> PAGEREF _Toc13216679 \h </w:instrText>
            </w:r>
            <w:r w:rsidR="00AD3D65">
              <w:rPr>
                <w:noProof/>
                <w:webHidden/>
              </w:rPr>
            </w:r>
            <w:r w:rsidR="00AD3D65">
              <w:rPr>
                <w:noProof/>
                <w:webHidden/>
              </w:rPr>
              <w:fldChar w:fldCharType="separate"/>
            </w:r>
            <w:r w:rsidR="00FB6C18">
              <w:rPr>
                <w:noProof/>
                <w:webHidden/>
              </w:rPr>
              <w:t>20</w:t>
            </w:r>
            <w:r w:rsidR="00AD3D65">
              <w:rPr>
                <w:noProof/>
                <w:webHidden/>
              </w:rPr>
              <w:fldChar w:fldCharType="end"/>
            </w:r>
          </w:hyperlink>
        </w:p>
        <w:p w:rsidR="00AD3D65" w:rsidRDefault="00EB35B4">
          <w:pPr>
            <w:pStyle w:val="Verzeichnis2"/>
            <w:rPr>
              <w:rFonts w:asciiTheme="minorHAnsi" w:eastAsiaTheme="minorEastAsia" w:hAnsiTheme="minorHAnsi"/>
              <w:noProof/>
              <w:sz w:val="22"/>
              <w:lang w:eastAsia="de-DE"/>
            </w:rPr>
          </w:pPr>
          <w:hyperlink w:anchor="_Toc13216680" w:history="1">
            <w:r w:rsidR="00AD3D65" w:rsidRPr="00435235">
              <w:rPr>
                <w:rStyle w:val="Hyperlink"/>
                <w:rFonts w:eastAsia="Times New Roman" w:cs="Calibri"/>
                <w:b/>
                <w:bCs/>
                <w:noProof/>
              </w:rPr>
              <w:t>VI.</w:t>
            </w:r>
            <w:r w:rsidR="00AD3D65">
              <w:rPr>
                <w:rFonts w:asciiTheme="minorHAnsi" w:eastAsiaTheme="minorEastAsia" w:hAnsiTheme="minorHAnsi"/>
                <w:noProof/>
                <w:sz w:val="22"/>
                <w:lang w:eastAsia="de-DE"/>
              </w:rPr>
              <w:tab/>
            </w:r>
            <w:r w:rsidR="00AD3D65" w:rsidRPr="00435235">
              <w:rPr>
                <w:rStyle w:val="Hyperlink"/>
                <w:rFonts w:eastAsia="Times New Roman" w:cs="Calibri"/>
                <w:b/>
                <w:bCs/>
                <w:noProof/>
              </w:rPr>
              <w:t>Handlungsempfehlungen</w:t>
            </w:r>
            <w:r w:rsidR="00AD3D65">
              <w:rPr>
                <w:noProof/>
                <w:webHidden/>
              </w:rPr>
              <w:tab/>
            </w:r>
            <w:r w:rsidR="00AD3D65">
              <w:rPr>
                <w:noProof/>
                <w:webHidden/>
              </w:rPr>
              <w:fldChar w:fldCharType="begin"/>
            </w:r>
            <w:r w:rsidR="00AD3D65">
              <w:rPr>
                <w:noProof/>
                <w:webHidden/>
              </w:rPr>
              <w:instrText xml:space="preserve"> PAGEREF _Toc13216680 \h </w:instrText>
            </w:r>
            <w:r w:rsidR="00AD3D65">
              <w:rPr>
                <w:noProof/>
                <w:webHidden/>
              </w:rPr>
            </w:r>
            <w:r w:rsidR="00AD3D65">
              <w:rPr>
                <w:noProof/>
                <w:webHidden/>
              </w:rPr>
              <w:fldChar w:fldCharType="separate"/>
            </w:r>
            <w:r w:rsidR="00FB6C18">
              <w:rPr>
                <w:noProof/>
                <w:webHidden/>
              </w:rPr>
              <w:t>21</w:t>
            </w:r>
            <w:r w:rsidR="00AD3D65">
              <w:rPr>
                <w:noProof/>
                <w:webHidden/>
              </w:rPr>
              <w:fldChar w:fldCharType="end"/>
            </w:r>
          </w:hyperlink>
        </w:p>
        <w:p w:rsidR="00AD3D65" w:rsidRDefault="00EB35B4">
          <w:pPr>
            <w:pStyle w:val="Verzeichnis2"/>
            <w:rPr>
              <w:rFonts w:asciiTheme="minorHAnsi" w:eastAsiaTheme="minorEastAsia" w:hAnsiTheme="minorHAnsi"/>
              <w:noProof/>
              <w:sz w:val="22"/>
              <w:lang w:eastAsia="de-DE"/>
            </w:rPr>
          </w:pPr>
          <w:hyperlink w:anchor="_Toc13216681" w:history="1">
            <w:r w:rsidR="00AD3D65" w:rsidRPr="00E356D3">
              <w:rPr>
                <w:rStyle w:val="Hyperlink"/>
                <w:rFonts w:eastAsia="Calibri"/>
                <w:b/>
                <w:noProof/>
              </w:rPr>
              <w:t>VII.</w:t>
            </w:r>
            <w:r w:rsidR="00AD3D65" w:rsidRPr="00E356D3">
              <w:rPr>
                <w:rFonts w:asciiTheme="minorHAnsi" w:eastAsiaTheme="minorEastAsia" w:hAnsiTheme="minorHAnsi"/>
                <w:b/>
                <w:noProof/>
                <w:sz w:val="22"/>
                <w:lang w:eastAsia="de-DE"/>
              </w:rPr>
              <w:tab/>
            </w:r>
            <w:r w:rsidR="00AD3D65" w:rsidRPr="00E356D3">
              <w:rPr>
                <w:rStyle w:val="Hyperlink"/>
                <w:b/>
                <w:noProof/>
              </w:rPr>
              <w:t>Literaturverzeichnis</w:t>
            </w:r>
            <w:r w:rsidR="00AD3D65">
              <w:rPr>
                <w:noProof/>
                <w:webHidden/>
              </w:rPr>
              <w:tab/>
            </w:r>
            <w:r w:rsidR="00AD3D65">
              <w:rPr>
                <w:noProof/>
                <w:webHidden/>
              </w:rPr>
              <w:fldChar w:fldCharType="begin"/>
            </w:r>
            <w:r w:rsidR="00AD3D65">
              <w:rPr>
                <w:noProof/>
                <w:webHidden/>
              </w:rPr>
              <w:instrText xml:space="preserve"> PAGEREF _Toc13216681 \h </w:instrText>
            </w:r>
            <w:r w:rsidR="00AD3D65">
              <w:rPr>
                <w:noProof/>
                <w:webHidden/>
              </w:rPr>
            </w:r>
            <w:r w:rsidR="00AD3D65">
              <w:rPr>
                <w:noProof/>
                <w:webHidden/>
              </w:rPr>
              <w:fldChar w:fldCharType="separate"/>
            </w:r>
            <w:r w:rsidR="00FB6C18">
              <w:rPr>
                <w:noProof/>
                <w:webHidden/>
              </w:rPr>
              <w:t>24</w:t>
            </w:r>
            <w:r w:rsidR="00AD3D65">
              <w:rPr>
                <w:noProof/>
                <w:webHidden/>
              </w:rPr>
              <w:fldChar w:fldCharType="end"/>
            </w:r>
          </w:hyperlink>
        </w:p>
        <w:p w:rsidR="009B148B" w:rsidRDefault="009B148B">
          <w:r>
            <w:rPr>
              <w:b/>
              <w:bCs/>
            </w:rPr>
            <w:fldChar w:fldCharType="end"/>
          </w:r>
        </w:p>
      </w:sdtContent>
    </w:sdt>
    <w:p w:rsidR="00DB6DE3" w:rsidRPr="00B955A1" w:rsidRDefault="009B148B" w:rsidP="00B955A1">
      <w:pPr>
        <w:pStyle w:val="Listenabsatz"/>
        <w:numPr>
          <w:ilvl w:val="0"/>
          <w:numId w:val="46"/>
        </w:numPr>
        <w:spacing w:line="240" w:lineRule="auto"/>
        <w:rPr>
          <w:rFonts w:eastAsia="Times New Roman" w:cs="Calibri"/>
          <w:b/>
          <w:bCs/>
          <w:sz w:val="28"/>
          <w:szCs w:val="26"/>
        </w:rPr>
      </w:pPr>
      <w:r w:rsidRPr="00B955A1">
        <w:rPr>
          <w:b/>
          <w:sz w:val="36"/>
          <w:szCs w:val="36"/>
        </w:rPr>
        <w:br w:type="page"/>
      </w:r>
      <w:bookmarkStart w:id="3" w:name="_Toc524415338"/>
      <w:bookmarkStart w:id="4" w:name="_Toc13216660"/>
      <w:r w:rsidR="00DB6DE3" w:rsidRPr="00B955A1">
        <w:rPr>
          <w:rFonts w:eastAsia="Times New Roman" w:cs="Calibri"/>
          <w:b/>
          <w:bCs/>
          <w:sz w:val="28"/>
          <w:szCs w:val="26"/>
        </w:rPr>
        <w:lastRenderedPageBreak/>
        <w:t>Einleitung</w:t>
      </w:r>
      <w:bookmarkEnd w:id="3"/>
      <w:bookmarkEnd w:id="4"/>
    </w:p>
    <w:p w:rsidR="005A4E91" w:rsidRDefault="005A4E91" w:rsidP="005A4E91">
      <w:r w:rsidRPr="000F6F00">
        <w:t xml:space="preserve">Unter Demografie versteht man nach </w:t>
      </w:r>
      <w:proofErr w:type="spellStart"/>
      <w:r w:rsidRPr="000F6F00">
        <w:t>Thurich</w:t>
      </w:r>
      <w:proofErr w:type="spellEnd"/>
      <w:r w:rsidRPr="000F6F00">
        <w:t xml:space="preserve"> die „Wissenschaft von der Bevölk</w:t>
      </w:r>
      <w:r w:rsidRPr="000F6F00">
        <w:t>e</w:t>
      </w:r>
      <w:r w:rsidRPr="000F6F00">
        <w:t>rung“. Sie beschreibt den gegenwärtigen Zustand der Bevölkerung (u.a. Altersau</w:t>
      </w:r>
      <w:r w:rsidRPr="000F6F00">
        <w:t>f</w:t>
      </w:r>
      <w:r w:rsidRPr="000F6F00">
        <w:t>bau, Geburtenrate, Zuwanderung) und leitet daraus Schlüsse für die Zukunft ab (</w:t>
      </w:r>
      <w:proofErr w:type="spellStart"/>
      <w:r w:rsidRPr="000F6F00">
        <w:t>Thurich</w:t>
      </w:r>
      <w:proofErr w:type="spellEnd"/>
      <w:r w:rsidRPr="000F6F00">
        <w:t>, 2011). Der demografische Wandel beschreibt demzufolge also eine Verä</w:t>
      </w:r>
      <w:r w:rsidRPr="000F6F00">
        <w:t>n</w:t>
      </w:r>
      <w:r w:rsidRPr="000F6F00">
        <w:t xml:space="preserve">derung des Zustands der Bevölkerung und kann in Deutschland im Wesentlichen durch die drei Begriffe „Weniger“, „Älter“ und „Bunter“ charakterisiert werden (Kösters, 2011) (vgl. Abbildung 1). </w:t>
      </w:r>
    </w:p>
    <w:p w:rsidR="00980E74" w:rsidRDefault="00980E74" w:rsidP="005A4E91">
      <w:pPr>
        <w:spacing w:after="0"/>
        <w:jc w:val="both"/>
        <w:rPr>
          <w:rFonts w:cs="Arial"/>
          <w:color w:val="000000" w:themeColor="text1"/>
          <w:szCs w:val="24"/>
        </w:rPr>
      </w:pPr>
    </w:p>
    <w:p w:rsidR="00980E74" w:rsidRDefault="00980E74" w:rsidP="00D67DA6">
      <w:pPr>
        <w:spacing w:after="0"/>
        <w:jc w:val="center"/>
        <w:rPr>
          <w:rFonts w:cs="Arial"/>
          <w:color w:val="000000" w:themeColor="text1"/>
          <w:szCs w:val="24"/>
        </w:rPr>
      </w:pPr>
      <w:r w:rsidRPr="00980E74">
        <w:rPr>
          <w:noProof/>
          <w:lang w:eastAsia="de-DE"/>
        </w:rPr>
        <w:drawing>
          <wp:inline distT="0" distB="0" distL="0" distR="0">
            <wp:extent cx="4914900" cy="771525"/>
            <wp:effectExtent l="0" t="0" r="0"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771525"/>
                    </a:xfrm>
                    <a:prstGeom prst="rect">
                      <a:avLst/>
                    </a:prstGeom>
                    <a:noFill/>
                    <a:ln>
                      <a:noFill/>
                    </a:ln>
                  </pic:spPr>
                </pic:pic>
              </a:graphicData>
            </a:graphic>
          </wp:inline>
        </w:drawing>
      </w:r>
    </w:p>
    <w:p w:rsidR="005A4E91" w:rsidRPr="005A4E91" w:rsidRDefault="005A4E91" w:rsidP="005A4E91">
      <w:pPr>
        <w:spacing w:after="0"/>
        <w:ind w:left="708"/>
        <w:jc w:val="both"/>
        <w:rPr>
          <w:rFonts w:cs="Arial"/>
          <w:color w:val="000000" w:themeColor="text1"/>
          <w:sz w:val="22"/>
        </w:rPr>
      </w:pPr>
      <w:r w:rsidRPr="005A4E91">
        <w:rPr>
          <w:rFonts w:cs="Arial"/>
          <w:color w:val="000000" w:themeColor="text1"/>
          <w:sz w:val="22"/>
        </w:rPr>
        <w:t xml:space="preserve">Abbildung 1: Demografischer Wandel in Deutschland - Weniger, Bunter, Älter </w:t>
      </w:r>
    </w:p>
    <w:p w:rsidR="00D67DA6" w:rsidRDefault="00D67DA6" w:rsidP="005A4E91"/>
    <w:p w:rsidR="005A4E91" w:rsidRPr="000F6F00" w:rsidRDefault="005A4E91" w:rsidP="005A4E91">
      <w:r w:rsidRPr="000F6F00">
        <w:t>Das bedeutet, dass die Lebenserwartung in Deutschland statistisch betrachtet z</w:t>
      </w:r>
      <w:r w:rsidRPr="000F6F00">
        <w:t>u</w:t>
      </w:r>
      <w:r w:rsidRPr="000F6F00">
        <w:t>nimmt, die Gesamtbevölkerungszahl abnimmt und der Anteil der Menschen mit Mi</w:t>
      </w:r>
      <w:r w:rsidRPr="000F6F00">
        <w:t>g</w:t>
      </w:r>
      <w:r w:rsidRPr="000F6F00">
        <w:t>rationshintergrund in der Bevölkerung steigt. Diese Entwicklung stellt den Staat, die Gesellschaft, die Wirtschaft, die Bürger und nicht zuletzt auch die gesundheitsbez</w:t>
      </w:r>
      <w:r w:rsidRPr="000F6F00">
        <w:t>o</w:t>
      </w:r>
      <w:r w:rsidRPr="000F6F00">
        <w:t xml:space="preserve">gene Selbsthilfe vor große Herausforderungen. </w:t>
      </w:r>
    </w:p>
    <w:p w:rsidR="005A4E91" w:rsidRPr="000F6F00" w:rsidRDefault="005A4E91" w:rsidP="005A4E91">
      <w:r w:rsidRPr="000F6F00">
        <w:t>Familien kommt, im Hinblick auf den demografischen Wandel, eine zweigeteilte Ro</w:t>
      </w:r>
      <w:r w:rsidRPr="000F6F00">
        <w:t>l</w:t>
      </w:r>
      <w:r w:rsidRPr="000F6F00">
        <w:t xml:space="preserve">le zu. Einerseits sind Familien maßgeblich am Fortschreiten des demografischen Wandels beteiligt (z.B. Geburtenrate). Andererseits sind sie jedoch auch unmittelbar von den Auswirkungen des demografischen Wandels betroffen (z.B. zunehmende Frauenerwerbsquote). </w:t>
      </w:r>
    </w:p>
    <w:p w:rsidR="00DB6DE3" w:rsidRPr="00DB6DE3" w:rsidRDefault="00DB6DE3" w:rsidP="00DB6DE3">
      <w:pPr>
        <w:jc w:val="both"/>
        <w:rPr>
          <w:rFonts w:eastAsia="Calibri" w:cs="Calibri"/>
          <w:szCs w:val="24"/>
        </w:rPr>
      </w:pPr>
      <w:r w:rsidRPr="00DB6DE3">
        <w:rPr>
          <w:rFonts w:eastAsia="Calibri" w:cs="Calibri"/>
          <w:szCs w:val="24"/>
        </w:rPr>
        <w:br w:type="page"/>
      </w:r>
    </w:p>
    <w:p w:rsidR="00DB6DE3" w:rsidRPr="00FB6C18" w:rsidRDefault="005A4E91" w:rsidP="00FB6C18">
      <w:pPr>
        <w:pStyle w:val="Listenabsatz"/>
        <w:keepNext/>
        <w:keepLines/>
        <w:numPr>
          <w:ilvl w:val="0"/>
          <w:numId w:val="46"/>
        </w:numPr>
        <w:spacing w:before="200" w:after="240"/>
        <w:jc w:val="both"/>
        <w:outlineLvl w:val="1"/>
        <w:rPr>
          <w:rFonts w:eastAsia="Times New Roman" w:cs="Calibri"/>
          <w:b/>
          <w:bCs/>
          <w:sz w:val="28"/>
          <w:szCs w:val="26"/>
        </w:rPr>
      </w:pPr>
      <w:bookmarkStart w:id="5" w:name="_Toc524415339"/>
      <w:bookmarkStart w:id="6" w:name="_Toc13216661"/>
      <w:r w:rsidRPr="00FB6C18">
        <w:rPr>
          <w:rFonts w:eastAsia="Times New Roman" w:cs="Calibri"/>
          <w:b/>
          <w:bCs/>
          <w:sz w:val="28"/>
          <w:szCs w:val="26"/>
        </w:rPr>
        <w:lastRenderedPageBreak/>
        <w:t>Familien im Wandel</w:t>
      </w:r>
      <w:bookmarkEnd w:id="5"/>
      <w:bookmarkEnd w:id="6"/>
    </w:p>
    <w:p w:rsidR="005A4E91" w:rsidRPr="000F6F00" w:rsidRDefault="005A4E91" w:rsidP="005A4E91">
      <w:r w:rsidRPr="000F6F00">
        <w:t xml:space="preserve">Im traditionellen Verständnis ist die Familie in der Regel ein Ehepaar, das zusammen mit seinem Kind, beziehungsweise seinen Kindern, in einem Haushalt lebt. Familie ist demnach durch fünf Merkmale charakterisiert: </w:t>
      </w:r>
    </w:p>
    <w:p w:rsidR="005A4E91" w:rsidRPr="000F6F00" w:rsidRDefault="005A4E91" w:rsidP="005A4E91">
      <w:pPr>
        <w:pStyle w:val="Listenabsatz"/>
        <w:numPr>
          <w:ilvl w:val="0"/>
          <w:numId w:val="38"/>
        </w:numPr>
      </w:pPr>
      <w:r w:rsidRPr="000F6F00">
        <w:t xml:space="preserve">das Vorhandensein von zwei Generationen und von zwei Geschlechtern, </w:t>
      </w:r>
    </w:p>
    <w:p w:rsidR="005A4E91" w:rsidRPr="000F6F00" w:rsidRDefault="005A4E91" w:rsidP="005A4E91">
      <w:pPr>
        <w:pStyle w:val="Listenabsatz"/>
        <w:numPr>
          <w:ilvl w:val="0"/>
          <w:numId w:val="38"/>
        </w:numPr>
      </w:pPr>
      <w:r w:rsidRPr="000F6F00">
        <w:t xml:space="preserve">die Ehe des Elternpaars, </w:t>
      </w:r>
    </w:p>
    <w:p w:rsidR="005A4E91" w:rsidRPr="000F6F00" w:rsidRDefault="005A4E91" w:rsidP="005A4E91">
      <w:pPr>
        <w:pStyle w:val="Listenabsatz"/>
        <w:numPr>
          <w:ilvl w:val="0"/>
          <w:numId w:val="38"/>
        </w:numPr>
      </w:pPr>
      <w:r w:rsidRPr="000F6F00">
        <w:t xml:space="preserve">verwandtschaftliche Beziehungen zwischen den Familienmitgliedern sowie </w:t>
      </w:r>
    </w:p>
    <w:p w:rsidR="005A4E91" w:rsidRPr="000F6F00" w:rsidRDefault="005A4E91" w:rsidP="005A4E91">
      <w:pPr>
        <w:pStyle w:val="Listenabsatz"/>
        <w:numPr>
          <w:ilvl w:val="0"/>
          <w:numId w:val="38"/>
        </w:numPr>
      </w:pPr>
      <w:r w:rsidRPr="000F6F00">
        <w:t xml:space="preserve">eine Haushalts- und Wirtschaftsgemeinschaft. </w:t>
      </w:r>
    </w:p>
    <w:p w:rsidR="005A4E91" w:rsidRPr="000F6F00" w:rsidRDefault="005A4E91" w:rsidP="005A4E91">
      <w:r w:rsidRPr="000F6F00">
        <w:t>Seit rund 50 Jahren vollzieht sich in Deutschland jedoch ein tiefgreifender Wandel, der durch eine steigende Individualisierung, eine zunehmende Pluralisierung der L</w:t>
      </w:r>
      <w:r w:rsidRPr="000F6F00">
        <w:t>e</w:t>
      </w:r>
      <w:r w:rsidRPr="000F6F00">
        <w:t xml:space="preserve">bensformen und eine wachsende De-Institutionalisierung der Ehe gekennzeichnet ist (BPB, 2009). </w:t>
      </w:r>
    </w:p>
    <w:p w:rsidR="005A4E91" w:rsidRPr="000F6F00" w:rsidRDefault="005A4E91" w:rsidP="005A4E91">
      <w:pPr>
        <w:pStyle w:val="berschrift3"/>
      </w:pPr>
      <w:bookmarkStart w:id="7" w:name="_Toc13216662"/>
      <w:r w:rsidRPr="000F6F00">
        <w:t>Rückgang der Geburtenrate</w:t>
      </w:r>
      <w:bookmarkEnd w:id="7"/>
    </w:p>
    <w:p w:rsidR="005A4E91" w:rsidRPr="000F6F00" w:rsidRDefault="005A4E91" w:rsidP="005A4E91">
      <w:r w:rsidRPr="000F6F00">
        <w:t xml:space="preserve">Diese Entwicklung wirkt sich unter anderem auch auf die Geburtenrate aus. Seit 1975, sind die Geburtenraten in Deutschland konstant niedrig, stellenweise sogar rückläufig. Heute bringt jede Frau in Deutschland im Laufe ihres Lebens statistisch betrachtet nur noch 1,4 Kinder zur Welt. Dieser Trend ist auf verschiedene Ursachen zurückzuführen. </w:t>
      </w:r>
    </w:p>
    <w:p w:rsidR="005A4E91" w:rsidRPr="000F6F00" w:rsidRDefault="005A4E91" w:rsidP="005A4E91">
      <w:r w:rsidRPr="000F6F00">
        <w:t>In vor- und frühindustriellen Gesellschaften sprachen sowohl die Nutzung der Kinder als Arbeitskräfte, als auch die Sicherung des Lebensunterhalts der Eltern im Alter und im Krankheitsfall, eindeutig für einen großen Kinderreichtum. Weiterhin spielten fehlende Möglichkeiten zur Empfängnisverhütung eine bedeutende Rolle. Da die Ki</w:t>
      </w:r>
      <w:r w:rsidRPr="000F6F00">
        <w:t>n</w:t>
      </w:r>
      <w:r w:rsidRPr="000F6F00">
        <w:t xml:space="preserve">derarbeit jedoch glücklicherweise abgeschafft und Sozialsysteme für die finanzielle Absicherung im Alter oder Krankheitsfall eingeführt wurden, sind es heute zumeist ökonomische Gründe, die gegen einen großen Kinderreichtum sprechen. Gemäß einer </w:t>
      </w:r>
      <w:r w:rsidRPr="000F6F00">
        <w:lastRenderedPageBreak/>
        <w:t>Studie aus dem Jahr 2016, mit dem Titel „Kein Geld, keine Freiheit, keine Karriere: Warum die Deutschen keine Kinder bekommen“, gaben 63 % der Befragten an, dass Kinder ihrer Meinung nach heutzutage zu viel Geld kosten würden. Dies sind 5 % mehr, als noch im Jahr 2011 (58 %)</w:t>
      </w:r>
      <w:r w:rsidRPr="000F6F00">
        <w:rPr>
          <w:sz w:val="12"/>
          <w:szCs w:val="12"/>
        </w:rPr>
        <w:t xml:space="preserve"> </w:t>
      </w:r>
      <w:r w:rsidRPr="000F6F00">
        <w:t>(Reinhardt, 2016).</w:t>
      </w:r>
    </w:p>
    <w:p w:rsidR="005A4E91" w:rsidRPr="000F6F00" w:rsidRDefault="005A4E91" w:rsidP="00F13CDC">
      <w:r w:rsidRPr="000F6F00">
        <w:t>51 % der befragten Paare gaben die nach</w:t>
      </w:r>
      <w:r w:rsidR="00F13CDC">
        <w:t xml:space="preserve"> </w:t>
      </w:r>
      <w:r w:rsidRPr="000F6F00">
        <w:t>wie</w:t>
      </w:r>
      <w:r w:rsidR="00F13CDC">
        <w:t xml:space="preserve"> </w:t>
      </w:r>
      <w:r w:rsidRPr="000F6F00">
        <w:t>vor unzureichende Vereinbarkeit von Beruf und Familie als Grund für ihre Kinderlosigkeit an (Reinhardt, 2016). Insbeso</w:t>
      </w:r>
      <w:r w:rsidRPr="000F6F00">
        <w:t>n</w:t>
      </w:r>
      <w:r w:rsidRPr="000F6F00">
        <w:t>dere vor dem Hintergrund der, durch den demografischen Wandel bedingten, stetig weiter ansteigenden Frauenerwerbsquote und der wachsenden Zahl Alleinerziehe</w:t>
      </w:r>
      <w:r w:rsidRPr="000F6F00">
        <w:t>n</w:t>
      </w:r>
      <w:r w:rsidRPr="000F6F00">
        <w:t>der, gewinnt die Vereinbarkeit von Beruf und Familie immer mehr an Bedeutung. Durch den demografischen Wandel und die Digitalisierung wurde ein tiefgreifender gesamtgesellschaftlicher Transformationsprozess eingeleitet, dessen Auswirkungen noch nicht abschließend absehbar sind. Es gilt jedoch, diesen gesellschaftlichen Wandel aktiv zu gestalten, um die Vereinbarkeit von Familie und Beruf für gegenwä</w:t>
      </w:r>
      <w:r w:rsidRPr="000F6F00">
        <w:t>r</w:t>
      </w:r>
      <w:r w:rsidRPr="000F6F00">
        <w:t xml:space="preserve">tige und nachkommende Generationen zu verbessern.   </w:t>
      </w:r>
    </w:p>
    <w:p w:rsidR="005A4E91" w:rsidRPr="000F6F00" w:rsidRDefault="005A4E91" w:rsidP="00F13CDC">
      <w:r w:rsidRPr="000F6F00">
        <w:t>Weiterhin gaben 41 % der Befragten die schlechten staatlichen (z.B. Steuerpolitik, Kindergeld), arbeitsmarktpolitischen (z.B. Flexibilisierung des Arbeitsmarkts) und gesellschaftlichen Voraussetzungen (z.B. „Kinderfeindlichkeit“) als Grund für ihre Kinderlosigkeit an. Insbesondere die berufliche Absicherung, in Form eines unbefri</w:t>
      </w:r>
      <w:r w:rsidRPr="000F6F00">
        <w:t>s</w:t>
      </w:r>
      <w:r w:rsidRPr="000F6F00">
        <w:t>teten Arbeitsvertrags und eines ausreichende</w:t>
      </w:r>
      <w:r w:rsidR="00F13CDC">
        <w:t>n</w:t>
      </w:r>
      <w:r w:rsidRPr="000F6F00">
        <w:t xml:space="preserve"> Einkommens, spielten für die meisten Paare eine entscheidende Bedeutung im Hinblick auf eine Familiengründung (Rei</w:t>
      </w:r>
      <w:r w:rsidRPr="000F6F00">
        <w:t>n</w:t>
      </w:r>
      <w:r w:rsidRPr="000F6F00">
        <w:t>hardt, 2016).</w:t>
      </w:r>
    </w:p>
    <w:p w:rsidR="005A4E91" w:rsidRPr="000F6F00" w:rsidRDefault="005A4E91" w:rsidP="00F13CDC">
      <w:pPr>
        <w:pStyle w:val="berschrift3"/>
      </w:pPr>
      <w:bookmarkStart w:id="8" w:name="_Toc13216663"/>
      <w:r w:rsidRPr="000F6F00">
        <w:t>Vereinbarkeit von Familie und Beruf</w:t>
      </w:r>
      <w:bookmarkEnd w:id="8"/>
    </w:p>
    <w:p w:rsidR="005A4E91" w:rsidRPr="000F6F00" w:rsidRDefault="005A4E91" w:rsidP="00F13CDC">
      <w:r w:rsidRPr="000F6F00">
        <w:t>Die fortschreitende Globalisierung und Digitalisierung haben den Arbeitsmarkt stark verändert. In Deutschland nimmt die Zahl der befristeten und prekären Arbeitsve</w:t>
      </w:r>
      <w:r w:rsidRPr="000F6F00">
        <w:t>r</w:t>
      </w:r>
      <w:r w:rsidRPr="000F6F00">
        <w:t xml:space="preserve">hältnisse stetig weiter zu. Die Zahl der Arbeitnehmer mit befristetem Arbeitsvertrag ist innerhalb von zehn Jahren von rund 2 (2007) auf 2,8 Millionen (2017) angestiegen. Betroffen sind insbesondere Frauen und Arbeitnehmer zwischen 25 und 34 Jahren, </w:t>
      </w:r>
      <w:r w:rsidRPr="000F6F00">
        <w:lastRenderedPageBreak/>
        <w:t>also die Generation im besten „Familien-Gründungs-Alter“. Die fehlende Planungss</w:t>
      </w:r>
      <w:r w:rsidRPr="000F6F00">
        <w:t>i</w:t>
      </w:r>
      <w:r w:rsidRPr="000F6F00">
        <w:t>cherheit führt bei immer mehr Frauen entweder zu sehr später Mutterschaft oder sogar zur völligen Kinderlosigkeit (</w:t>
      </w:r>
      <w:proofErr w:type="spellStart"/>
      <w:r w:rsidRPr="000F6F00">
        <w:t>Hohendanner</w:t>
      </w:r>
      <w:proofErr w:type="spellEnd"/>
      <w:r w:rsidRPr="000F6F00">
        <w:t>, 2018). Im Jahr 2015 wurden Frauen mit durchschnittlich 29,6 Jahren erstmals Mutter. Anfang der 1970er­Jahre betrug das Durchschnittsalter in Westdeutschland noch gut 24 Jahre, in Ostdeutschland lag es bis 1989 zwischen 22 und 23 Jahren. Und die Kinderlosigkeit hat sich zwischen den Jahrgängen 1937 und 1967 von 11 auf 21 % nahezu verdoppelt (BMFSFJ, 2017)</w:t>
      </w:r>
      <w:r w:rsidRPr="000F6F00">
        <w:rPr>
          <w:sz w:val="6"/>
          <w:szCs w:val="6"/>
        </w:rPr>
        <w:t>)</w:t>
      </w:r>
      <w:r w:rsidRPr="000F6F00">
        <w:t xml:space="preserve">. </w:t>
      </w:r>
    </w:p>
    <w:p w:rsidR="005A4E91" w:rsidRPr="000F6F00" w:rsidRDefault="005A4E91" w:rsidP="00F13CDC">
      <w:r w:rsidRPr="000F6F00">
        <w:t>In diesem Zusammenhang fällt auch immer wieder der Begriff des sogenannten „D</w:t>
      </w:r>
      <w:r w:rsidRPr="000F6F00">
        <w:t>e</w:t>
      </w:r>
      <w:r w:rsidRPr="000F6F00">
        <w:t xml:space="preserve">mografisch-ökonomischen Paradoxons“, welches besagt, dass die Geburtenrate umso niedriger ist, je höher das Pro-Kopf-Einkommen und der Bildungsstand sind. Dies spiegelt sich auch in den Ergebnissen des Familienreports 2017 wider. Bei den 45­ bis </w:t>
      </w:r>
      <w:r w:rsidR="00D67DA6" w:rsidRPr="000F6F00">
        <w:t>49-jährigen</w:t>
      </w:r>
      <w:r w:rsidRPr="000F6F00">
        <w:t xml:space="preserve"> Nichtakademikerinnen betrug der Anteil der kinderlosen Frauen im Jahre 2016 an der Gesamtbevölkerung 19 %, bei den Akademikerinnen lag der Anteil bei 26 %. Die durchschnittliche Kinderzahl lag bei den 45 bis </w:t>
      </w:r>
      <w:r w:rsidR="00D67DA6" w:rsidRPr="000F6F00">
        <w:t>54-jährigen</w:t>
      </w:r>
      <w:r w:rsidRPr="000F6F00">
        <w:t xml:space="preserve"> Müttern mit niedrigem Bildungsabschluss bei 2,3 Kindern, bei Müttern mit hohem Bildungsa</w:t>
      </w:r>
      <w:r w:rsidRPr="000F6F00">
        <w:t>b</w:t>
      </w:r>
      <w:r w:rsidRPr="000F6F00">
        <w:t>schluss hingegen bei nur 1,9 Kindern (BMFSFJ, 2017). Weiterhin führen die zune</w:t>
      </w:r>
      <w:r w:rsidRPr="000F6F00">
        <w:t>h</w:t>
      </w:r>
      <w:r w:rsidRPr="000F6F00">
        <w:t>mende Flexibilisierung des Arbeitsmarkts, sowie die Verflechtung des Arbeits- und Privatlebens, zu einer immer schlechteren Vereinbarkeit von Familie und Beruf, s</w:t>
      </w:r>
      <w:r w:rsidRPr="000F6F00">
        <w:t>o</w:t>
      </w:r>
      <w:r w:rsidRPr="000F6F00">
        <w:t>wie zu einer wachsenden Überlastung, insbesondere von jüngeren Arbeitnehmern. So ist beispielsweise alleine die Anzahl der jungen Erwachsenen mit Diagnosen wie D</w:t>
      </w:r>
      <w:r w:rsidRPr="000F6F00">
        <w:t>e</w:t>
      </w:r>
      <w:r w:rsidRPr="000F6F00">
        <w:t xml:space="preserve">pressionen, Angststörungen, Erschöpfungszuständen oder Burn-Out zwischen 2005 und 2016 um 38 % gestiegen (Barmer, 2018). </w:t>
      </w:r>
    </w:p>
    <w:p w:rsidR="005A4E91" w:rsidRPr="000F6F00" w:rsidRDefault="005A4E91" w:rsidP="00F13CDC">
      <w:pPr>
        <w:pStyle w:val="berschrift3"/>
      </w:pPr>
      <w:bookmarkStart w:id="9" w:name="_Toc13216664"/>
      <w:r w:rsidRPr="000F6F00">
        <w:t>Die Sandwich-Generation</w:t>
      </w:r>
      <w:bookmarkEnd w:id="9"/>
    </w:p>
    <w:p w:rsidR="005A4E91" w:rsidRPr="000F6F00" w:rsidRDefault="005A4E91" w:rsidP="00F13CDC">
      <w:r w:rsidRPr="000F6F00">
        <w:t>Und auch die Frauen der mittleren Generation stehen zunehmend unter Druck, da sie neben ihrer Berufstätigkeit auch immer häufiger Unterstützungsleistungen, sowohl für die nachwachsende Generation als auch für die Elterngeneration, erbringen möchten oder müssen. Gemäß einer Befragung des Allenbach Instituts für Demosk</w:t>
      </w:r>
      <w:r w:rsidRPr="000F6F00">
        <w:t>o</w:t>
      </w:r>
      <w:r w:rsidRPr="000F6F00">
        <w:t>pie aus dem Jahr 2015 erlebten 82 % der deutschen Frauen zwischen 40 und 59 Ja</w:t>
      </w:r>
      <w:r w:rsidRPr="000F6F00">
        <w:t>h</w:t>
      </w:r>
      <w:r w:rsidRPr="000F6F00">
        <w:lastRenderedPageBreak/>
        <w:t xml:space="preserve">ren häufiger das Gefühl der totalen Überforderung. Genauso viele der befragten Frauen litten unter ständiger Zeitnot (Köcher, 2015). </w:t>
      </w:r>
    </w:p>
    <w:p w:rsidR="005A4E91" w:rsidRPr="000F6F00" w:rsidRDefault="005A4E91" w:rsidP="00F13CDC">
      <w:r w:rsidRPr="000F6F00">
        <w:t>88 % waren als Ansprechpartnerinnen immer für ihre Kinder da. 66 % der befragten Frauen erledigten die Familienarbeit mehr oder weniger allein. 85 % lebten noch mit ihren Kindern zusammen. 25 % betreuten bereits Enkel. Fast jede zweite Frau war im Job stark engagiert. 95 % der befragten Frauen unterstützten ihre Eltern oder Schwiegereltern. 78 % der pflegenden Frauen waren berufstätig, darunter 30 % in Vollzeit. Nach Angaben des Müttergenesungswerks wurden im Jahre 2015 etwa 70 % der 2,9 Millionen Pflegebedürftigen zuhause versorgt - größtenteils von Frauen (Re</w:t>
      </w:r>
      <w:r w:rsidRPr="000F6F00">
        <w:t>e</w:t>
      </w:r>
      <w:r w:rsidRPr="000F6F00">
        <w:t>se, 2016). Seit Jahren steigt die Zahl der Pflegedürftigen kontinuierlich an. Im Jahre 2018 gab es in Deutschland bereits 3,5 Millionen pflegebedürftige Menschen. Unter der Annahme, dass die alters- und geschlechtsspezifischen Pflegequoten unverändert bleiben und sich die Bevölkerung entsprechend der 13. koordinierten Bevölkerung</w:t>
      </w:r>
      <w:r w:rsidRPr="000F6F00">
        <w:t>s</w:t>
      </w:r>
      <w:r w:rsidRPr="000F6F00">
        <w:t>vorausberechnung entwickelt, könnte die Zahl der Pflegebedürftigen bis zum Jahr 2060 auf 4,8 Millionen ansteigen. Damit wären rund 7 % der Gesamtbevölkerung pfl</w:t>
      </w:r>
      <w:r w:rsidRPr="000F6F00">
        <w:t>e</w:t>
      </w:r>
      <w:r w:rsidRPr="000F6F00">
        <w:t>gebedürftig - ein doppelt so hoher Anteil wie heute. Diese Entwicklung stellt die A</w:t>
      </w:r>
      <w:r w:rsidRPr="000F6F00">
        <w:t>n</w:t>
      </w:r>
      <w:r w:rsidRPr="000F6F00">
        <w:t>gehörigen pflegebedürftiger Menschen vor immer größere Herausforderungen (K</w:t>
      </w:r>
      <w:r w:rsidRPr="000F6F00">
        <w:t>ö</w:t>
      </w:r>
      <w:r w:rsidRPr="000F6F00">
        <w:t>cher, 2015), da die Erwerbstätigkeitsquote, insbesondere die der Frauen, in den let</w:t>
      </w:r>
      <w:r w:rsidRPr="000F6F00">
        <w:t>z</w:t>
      </w:r>
      <w:r w:rsidRPr="000F6F00">
        <w:t>ten Jahrzehnten stetig weiter angestiegen ist. In den Jahren 2006 bis 2011 stieg a</w:t>
      </w:r>
      <w:r w:rsidRPr="000F6F00">
        <w:t>l</w:t>
      </w:r>
      <w:r w:rsidRPr="000F6F00">
        <w:t>leine die Zahl der berufstätigen Mütter, mit jüngstem Kind zwischen ein und zwei Jahren, bereits von 33 auf 41 % an. Die Zahl der berufstätigen Mütter, mit jüngstem Kind zwischen zwei und drei Jahren, stieg im gleichen Zeitraum von 42 auf 54 % an. Die Datenerhebung belegte zudem, dass mit zunehmendem Alter der Kinder auch die Erwerbsbeteiligung der Frauen stetig weiter zunimmt. Im Jahr 2011 arbeiteten b</w:t>
      </w:r>
      <w:r w:rsidRPr="000F6F00">
        <w:t>e</w:t>
      </w:r>
      <w:r w:rsidRPr="000F6F00">
        <w:t>reits 70 % aller Mütter mit minderjährigen Kindern. Die durchschnittliche Wochena</w:t>
      </w:r>
      <w:r w:rsidRPr="000F6F00">
        <w:t>r</w:t>
      </w:r>
      <w:r w:rsidRPr="000F6F00">
        <w:t xml:space="preserve">beitszeit betrug 25,6 Stunden (Textor, 2015). </w:t>
      </w:r>
    </w:p>
    <w:p w:rsidR="005A4E91" w:rsidRPr="000F6F00" w:rsidRDefault="005A4E91" w:rsidP="00F13CDC">
      <w:pPr>
        <w:pStyle w:val="berschrift3"/>
      </w:pPr>
      <w:bookmarkStart w:id="10" w:name="_Toc13216665"/>
      <w:r w:rsidRPr="000F6F00">
        <w:lastRenderedPageBreak/>
        <w:t>Betreuung</w:t>
      </w:r>
      <w:bookmarkEnd w:id="10"/>
    </w:p>
    <w:p w:rsidR="005A4E91" w:rsidRPr="000F6F00" w:rsidRDefault="005A4E91" w:rsidP="00F13CDC">
      <w:r w:rsidRPr="000F6F00">
        <w:t>Häufig führen Paare für ihre Kinderlosigkeit auch fehlende oder unzureichende B</w:t>
      </w:r>
      <w:r w:rsidRPr="000F6F00">
        <w:t>e</w:t>
      </w:r>
      <w:r w:rsidRPr="000F6F00">
        <w:t>treuungsmöglichkeiten für die Kinder an. Wurden die Kinder nach Kindergarten- oder Schulschluss früher häufig durch die Großeltern betreut, so gestaltet sich dies heute zunehmend schwieriger. Ursache hierfür ist unter anderem, dass immer mehr Me</w:t>
      </w:r>
      <w:r w:rsidRPr="000F6F00">
        <w:t>n</w:t>
      </w:r>
      <w:r w:rsidRPr="000F6F00">
        <w:t>schen zwischen 65 und 74 Jahren, also nach dem Renteneintritt, noch einer Erwerb</w:t>
      </w:r>
      <w:r w:rsidRPr="000F6F00">
        <w:t>s</w:t>
      </w:r>
      <w:r w:rsidRPr="000F6F00">
        <w:t>tätigkeit nachgehen wollen oder müssen. Im Jahre 2006 lag Anteil dieser Gruppe g</w:t>
      </w:r>
      <w:r w:rsidRPr="000F6F00">
        <w:t>e</w:t>
      </w:r>
      <w:r w:rsidRPr="000F6F00">
        <w:t>mäß dem Bundesinstitut für Bevölkerungsforschung noch bei 5,1 %. Zehn Jahre später betrug ihr Anteil bereits 11,4 %. Tendenz steigend (Zeit Online, 2018)</w:t>
      </w:r>
      <w:r w:rsidRPr="000F6F00">
        <w:rPr>
          <w:sz w:val="2"/>
          <w:szCs w:val="2"/>
        </w:rPr>
        <w:t>)</w:t>
      </w:r>
      <w:r w:rsidRPr="000F6F00">
        <w:t xml:space="preserve">. </w:t>
      </w:r>
    </w:p>
    <w:p w:rsidR="005A4E91" w:rsidRPr="000F6F00" w:rsidRDefault="005A4E91" w:rsidP="00F13CDC">
      <w:pPr>
        <w:rPr>
          <w:sz w:val="2"/>
          <w:szCs w:val="2"/>
        </w:rPr>
      </w:pPr>
      <w:r w:rsidRPr="000F6F00">
        <w:t>Obgleich die Betreuungsquote von Kindern unter drei Jahren im Bundesdurchschnitt seit 2008 von 17,6 auf 33,6 % (2018) erhöht werden konnte, liegt der Bedarf mit rund 45 % noch immer weit höher, als das verfügbare Angebot (BMFSFJ, 2019).</w:t>
      </w:r>
      <w:r w:rsidRPr="000F6F00">
        <w:rPr>
          <w:sz w:val="2"/>
          <w:szCs w:val="2"/>
        </w:rPr>
        <w:t xml:space="preserve">). </w:t>
      </w:r>
      <w:r w:rsidRPr="000F6F00">
        <w:t>Von den 3 bis 6-jährigen Kindern, wurden im Jahr 2012 nahezu alle in Kitas oder Kindertage</w:t>
      </w:r>
      <w:r w:rsidRPr="000F6F00">
        <w:t>s</w:t>
      </w:r>
      <w:r w:rsidRPr="000F6F00">
        <w:t>stätten betreut. Die durchschnittliche Betreuungszeit lag 2012 in Deutschland bei knapp 36 Stunden pro Woche. In Ostdeutschland sogar bei über 41 Stunden pro W</w:t>
      </w:r>
      <w:r w:rsidRPr="000F6F00">
        <w:t>o</w:t>
      </w:r>
      <w:r w:rsidRPr="000F6F00">
        <w:t>che (Textor, 2015)</w:t>
      </w:r>
      <w:r w:rsidRPr="000F6F00">
        <w:rPr>
          <w:sz w:val="8"/>
          <w:szCs w:val="8"/>
        </w:rPr>
        <w:t>)</w:t>
      </w:r>
      <w:r w:rsidRPr="000F6F00">
        <w:t>.</w:t>
      </w:r>
    </w:p>
    <w:p w:rsidR="005A4E91" w:rsidRDefault="005A4E91" w:rsidP="00F13CDC">
      <w:r w:rsidRPr="000F6F00">
        <w:t>Und der Ruf nach einer weitreichenden Flexibilisierung der Betreuung (z.B. mehrt</w:t>
      </w:r>
      <w:r w:rsidRPr="000F6F00">
        <w:t>ä</w:t>
      </w:r>
      <w:r w:rsidRPr="000F6F00">
        <w:t>gige Betreuung, Betreuung über Nacht) wird in einer Zeit, die durch eine Pluralisi</w:t>
      </w:r>
      <w:r w:rsidRPr="000F6F00">
        <w:t>e</w:t>
      </w:r>
      <w:r w:rsidRPr="000F6F00">
        <w:t>rung der Lebenslagen sowie durch erhöhte Mobilitäts- und Flexibilitätsanforderungen an die Beschäftigten geprägt ist, stetig lauter. Bei der Gestaltung der Betreuungsa</w:t>
      </w:r>
      <w:r w:rsidRPr="000F6F00">
        <w:t>n</w:t>
      </w:r>
      <w:r w:rsidRPr="000F6F00">
        <w:t>gebote müssen jedoch sowohl die Möglichkeiten, als auch die Grenzen der Flexibil</w:t>
      </w:r>
      <w:r w:rsidRPr="000F6F00">
        <w:t>i</w:t>
      </w:r>
      <w:r w:rsidRPr="000F6F00">
        <w:t>tät und Zumutbarkeit für Kinder unterschiedlichen Alters, sowie die Sicherung des Kindeswohls, im Zentrum der Betrachtung stehen. Zahlreiche Studien belegen, dass je mehr nichtverwandtschaftliche Betreuung an wöchentlichen Stunden und Monaten Kinder bis 4 ½ Jahre erlebt hatten, desto eher traten therapiebedürftige Verhalten</w:t>
      </w:r>
      <w:r w:rsidRPr="000F6F00">
        <w:t>s</w:t>
      </w:r>
      <w:r w:rsidRPr="000F6F00">
        <w:t xml:space="preserve">auffälligkeiten auf (Behncke, 2019). </w:t>
      </w:r>
    </w:p>
    <w:p w:rsidR="00F13CDC" w:rsidRPr="000F6F00" w:rsidRDefault="00F13CDC" w:rsidP="00F13CDC"/>
    <w:p w:rsidR="005A4E91" w:rsidRPr="000F6F00" w:rsidRDefault="005A4E91" w:rsidP="00F13CDC">
      <w:pPr>
        <w:pStyle w:val="berschrift3"/>
      </w:pPr>
      <w:bookmarkStart w:id="11" w:name="_Toc13216666"/>
      <w:r w:rsidRPr="000F6F00">
        <w:lastRenderedPageBreak/>
        <w:t>Bohnenstangenfamilien</w:t>
      </w:r>
      <w:bookmarkEnd w:id="11"/>
    </w:p>
    <w:p w:rsidR="005A4E91" w:rsidRPr="000F6F00" w:rsidRDefault="005A4E91" w:rsidP="00F13CDC">
      <w:r w:rsidRPr="000F6F00">
        <w:t>Insgesamt führten die Entwicklungen der letzten Jahre zu zwei wesentlichen Trends, die unsere gegenwärtige Gesellschaft maßgeblich prägen. Zum einen hat das Phän</w:t>
      </w:r>
      <w:r w:rsidRPr="000F6F00">
        <w:t>o</w:t>
      </w:r>
      <w:r w:rsidRPr="000F6F00">
        <w:t>men der sogenannten „Bohnenstangenfamilien“ deutlich zugenommen. Erstmals te</w:t>
      </w:r>
      <w:r w:rsidRPr="000F6F00">
        <w:t>i</w:t>
      </w:r>
      <w:r w:rsidRPr="000F6F00">
        <w:t>len sich vier Generationen eine längere gemeinsame Lebensspanne. Gleichzeitig h</w:t>
      </w:r>
      <w:r w:rsidRPr="000F6F00">
        <w:t>a</w:t>
      </w:r>
      <w:r w:rsidRPr="000F6F00">
        <w:t>ben diese Familien weniger Kinder und Enkel. So gehören für viele junge Erwachsene inzwischen die Großeltern und die Urgroßeltern zum Teil ihres Familienlebens, wä</w:t>
      </w:r>
      <w:r w:rsidRPr="000F6F00">
        <w:t>h</w:t>
      </w:r>
      <w:r w:rsidRPr="000F6F00">
        <w:t xml:space="preserve">rend Geschwister, Onkel und Tanten, Cousins und Cousinen in viel geringerer Anzahl als noch vor 50 Jahren vorhanden sind (Eugster, 2019). </w:t>
      </w:r>
    </w:p>
    <w:p w:rsidR="005A4E91" w:rsidRPr="000F6F00" w:rsidRDefault="005A4E91" w:rsidP="00F13CDC">
      <w:pPr>
        <w:pStyle w:val="berschrift3"/>
      </w:pPr>
      <w:bookmarkStart w:id="12" w:name="_Toc13216667"/>
      <w:r w:rsidRPr="000F6F00">
        <w:t>Multilokale Mehrgenerationen-Haushalte</w:t>
      </w:r>
      <w:bookmarkEnd w:id="12"/>
    </w:p>
    <w:p w:rsidR="005A4E91" w:rsidRPr="000F6F00" w:rsidRDefault="005A4E91" w:rsidP="00F13CDC">
      <w:r w:rsidRPr="000F6F00">
        <w:t>Durch die steigende Lebenserwartung der Bevölkerung entstehen darüber hinaus auch immer mehr „Multilokale Mehrgenerationen-Haushalte“. Das heißt, dass jede Generation alleine lebt und haushaltet. Immer seltener wohnen Familienangehörige in unmittelbarer Nachbarschaft und die Zahl der Familien, die über verschiedene Kontinente verteilt leben, nimmt stetig weiter zu (Kittlaus, 2019).</w:t>
      </w:r>
    </w:p>
    <w:p w:rsidR="005A4E91" w:rsidRPr="000F6F00" w:rsidRDefault="005A4E91" w:rsidP="00F13CDC">
      <w:r w:rsidRPr="000F6F00">
        <w:t>Vor diesem Hintergrund gestaltet sich die Pflege und Unterstützung von Angehörigen zunehmend schwieriger. In der Folge steigt die Nachfrage nach professionellen Pfl</w:t>
      </w:r>
      <w:r w:rsidRPr="000F6F00">
        <w:t>e</w:t>
      </w:r>
      <w:r w:rsidRPr="000F6F00">
        <w:t>ge- und Betreuungsdienstleistungen, die bereits jetzt durch massive Versorgungsl</w:t>
      </w:r>
      <w:r w:rsidRPr="000F6F00">
        <w:t>ü</w:t>
      </w:r>
      <w:r w:rsidRPr="000F6F00">
        <w:t xml:space="preserve">cken (z.B. Pflegefachkräfte, Mangel an bezahlbaren Heimplätzen) gekennzeichnet sind. </w:t>
      </w:r>
    </w:p>
    <w:p w:rsidR="005A4E91" w:rsidRPr="000F6F00" w:rsidRDefault="005A4E91" w:rsidP="00F13CDC">
      <w:r w:rsidRPr="000F6F00">
        <w:t>Bisherige Maßnahmen auf politischer Ebene erzielten die gewünschte Wirkung z</w:t>
      </w:r>
      <w:r w:rsidRPr="000F6F00">
        <w:t>u</w:t>
      </w:r>
      <w:r w:rsidRPr="000F6F00">
        <w:t>meist nicht oder in nicht ausreichendem Maße (z.B. Gesetz zur besseren Vereinba</w:t>
      </w:r>
      <w:r w:rsidRPr="000F6F00">
        <w:t>r</w:t>
      </w:r>
      <w:r w:rsidRPr="000F6F00">
        <w:t xml:space="preserve">keit von Familie, Pflege und Beruf). </w:t>
      </w:r>
    </w:p>
    <w:p w:rsidR="005A4E91" w:rsidRPr="000F6F00" w:rsidRDefault="005A4E91" w:rsidP="00F13CDC"/>
    <w:p w:rsidR="005A4E91" w:rsidRPr="000F6F00" w:rsidRDefault="005A4E91" w:rsidP="00F13CDC">
      <w:r w:rsidRPr="000F6F00">
        <w:lastRenderedPageBreak/>
        <w:t>Um die komplexen Problemlagen der Familien in Deutschland vor dem Hintergrund des demografischen Wandels zu bewältigen, bedarf es dringend einer ressortübe</w:t>
      </w:r>
      <w:r w:rsidRPr="000F6F00">
        <w:t>r</w:t>
      </w:r>
      <w:r w:rsidRPr="000F6F00">
        <w:t>greifenden Strategie, die nachhaltige sowie zukunftsweisende sozial-, renten-, fam</w:t>
      </w:r>
      <w:r w:rsidRPr="000F6F00">
        <w:t>i</w:t>
      </w:r>
      <w:r w:rsidRPr="000F6F00">
        <w:t>lien-, arbeitsmarkt-, wohnungs-, finanz- und gesundheitspolitische Maßnahmen bü</w:t>
      </w:r>
      <w:r w:rsidRPr="000F6F00">
        <w:t>n</w:t>
      </w:r>
      <w:r w:rsidRPr="000F6F00">
        <w:t>delt. Die abnehmenden Geburtenzahlen und die zunehmende Überalterung haben jedoch nicht nur Auswirkungen auf den Arbeits- und Wohnungsmarkt oder die Sozia</w:t>
      </w:r>
      <w:r w:rsidRPr="000F6F00">
        <w:t>l</w:t>
      </w:r>
      <w:r w:rsidRPr="000F6F00">
        <w:t xml:space="preserve">systeme, sondern in erheblichem Maße auch auf die Selbsthilfe in Deutschland. </w:t>
      </w:r>
    </w:p>
    <w:p w:rsidR="00DB6DE3" w:rsidRPr="008B71C2" w:rsidRDefault="00DB6DE3">
      <w:pPr>
        <w:spacing w:line="240" w:lineRule="auto"/>
        <w:rPr>
          <w:rFonts w:eastAsia="Calibri" w:cs="Calibri"/>
          <w:szCs w:val="24"/>
        </w:rPr>
      </w:pPr>
      <w:r w:rsidRPr="008B71C2">
        <w:rPr>
          <w:rFonts w:eastAsia="Calibri" w:cs="Calibri"/>
          <w:szCs w:val="24"/>
        </w:rPr>
        <w:br w:type="page"/>
      </w:r>
    </w:p>
    <w:p w:rsidR="00DB6DE3" w:rsidRPr="00FB6C18" w:rsidRDefault="00DB6DE3" w:rsidP="00FB6C18">
      <w:pPr>
        <w:pStyle w:val="Listenabsatz"/>
        <w:keepNext/>
        <w:keepLines/>
        <w:numPr>
          <w:ilvl w:val="0"/>
          <w:numId w:val="46"/>
        </w:numPr>
        <w:spacing w:before="200" w:after="240"/>
        <w:jc w:val="both"/>
        <w:outlineLvl w:val="1"/>
        <w:rPr>
          <w:rFonts w:eastAsia="Times New Roman" w:cs="Calibri"/>
          <w:b/>
          <w:bCs/>
          <w:sz w:val="28"/>
          <w:szCs w:val="26"/>
        </w:rPr>
      </w:pPr>
      <w:bookmarkStart w:id="13" w:name="_Toc524415340"/>
      <w:bookmarkStart w:id="14" w:name="_Toc13216668"/>
      <w:r w:rsidRPr="00FB6C18">
        <w:rPr>
          <w:rFonts w:eastAsia="Times New Roman" w:cs="Calibri"/>
          <w:b/>
          <w:bCs/>
          <w:sz w:val="28"/>
          <w:szCs w:val="26"/>
        </w:rPr>
        <w:lastRenderedPageBreak/>
        <w:t>S</w:t>
      </w:r>
      <w:r w:rsidR="00F13CDC" w:rsidRPr="00FB6C18">
        <w:rPr>
          <w:rFonts w:eastAsia="Times New Roman" w:cs="Calibri"/>
          <w:b/>
          <w:bCs/>
          <w:sz w:val="28"/>
          <w:szCs w:val="26"/>
        </w:rPr>
        <w:t>elbsthilfe und Familie</w:t>
      </w:r>
      <w:bookmarkEnd w:id="13"/>
      <w:bookmarkEnd w:id="14"/>
    </w:p>
    <w:p w:rsidR="0029699F" w:rsidRDefault="0029699F" w:rsidP="0029699F">
      <w:r w:rsidRPr="0029699F">
        <w:t>Rund drei Millionen Menschen in Deutschland engagieren sich in Selbsthilfegruppen zu einem bestimmten gesundheitlichen, psychosozialen oder sozialen Thema. In Selbsthilfegruppen schließen sich Menschen mit demselben Problem oder mit einem gemeinsamen Anliegen oder einer gleichen Lebenssituation zusammen. Die Selbsthi</w:t>
      </w:r>
      <w:r w:rsidRPr="0029699F">
        <w:t>l</w:t>
      </w:r>
      <w:r w:rsidRPr="0029699F">
        <w:t>feengagierten sind entweder selbst oder mittelbar, etwa als Angehörige, Freunde oder Nachbarn, betroffen.</w:t>
      </w:r>
    </w:p>
    <w:p w:rsidR="0029699F" w:rsidRPr="0029699F" w:rsidRDefault="0029699F" w:rsidP="0029699F">
      <w:r>
        <w:t>Eine wesentliche Funktion der gesundheitlichen Selbsthilfe ist es, eine Balance zw</w:t>
      </w:r>
      <w:r>
        <w:t>i</w:t>
      </w:r>
      <w:r>
        <w:t>schen den Anforderungen aus Beruf, Familie, konkreten Problemlagen (Krankheit, Lebenskrise) und persönlichen und sozialen Lebenszielen herzustellen. Wie gezeigt wurde, wird der demografische Wandel gravierende Auswirkungen auf das soziale System „Familie“ haben. Dies kann daher ohne Folgen für die Funktionen der Selbs</w:t>
      </w:r>
      <w:r>
        <w:t>t</w:t>
      </w:r>
      <w:r>
        <w:t xml:space="preserve">hilfearbeit bleiben: </w:t>
      </w:r>
    </w:p>
    <w:p w:rsidR="0029699F" w:rsidRDefault="0029699F" w:rsidP="0029699F">
      <w:pPr>
        <w:pStyle w:val="Listenabsatz"/>
        <w:numPr>
          <w:ilvl w:val="0"/>
          <w:numId w:val="39"/>
        </w:numPr>
      </w:pPr>
      <w:r>
        <w:t>Überlastungssituation bei chronisch kranken und behinderten Menschen bzw. bei deren Angehörigen werden zunehmen</w:t>
      </w:r>
    </w:p>
    <w:p w:rsidR="0029699F" w:rsidRDefault="0029699F" w:rsidP="0029699F">
      <w:pPr>
        <w:pStyle w:val="Listenabsatz"/>
        <w:numPr>
          <w:ilvl w:val="1"/>
          <w:numId w:val="39"/>
        </w:numPr>
      </w:pPr>
      <w:r>
        <w:t>Wegen der immer schwieriger werdenden Vereinbarkeit von Beruf und F</w:t>
      </w:r>
      <w:r>
        <w:t>a</w:t>
      </w:r>
      <w:r>
        <w:t>milie mit den zusätzlichen Belastungen durch die Erkrankung/Behinderung</w:t>
      </w:r>
    </w:p>
    <w:p w:rsidR="0029699F" w:rsidRDefault="0029699F" w:rsidP="0029699F">
      <w:pPr>
        <w:pStyle w:val="Listenabsatz"/>
        <w:numPr>
          <w:ilvl w:val="1"/>
          <w:numId w:val="39"/>
        </w:numPr>
      </w:pPr>
      <w:r>
        <w:t>Wegen der besonderen Situation der Sandwich-Generation.</w:t>
      </w:r>
    </w:p>
    <w:p w:rsidR="0029699F" w:rsidRDefault="0029699F" w:rsidP="0029699F">
      <w:pPr>
        <w:ind w:left="360"/>
      </w:pPr>
      <w:r>
        <w:t>Hier wird es in Zukunft darauf ankommen, durch neue Angebote der Selbsthilfe die neu entstehenden Überlastungssituationen aufzufangen.</w:t>
      </w:r>
    </w:p>
    <w:p w:rsidR="0029699F" w:rsidRDefault="0029699F" w:rsidP="0029699F">
      <w:pPr>
        <w:pStyle w:val="Listenabsatz"/>
        <w:numPr>
          <w:ilvl w:val="0"/>
          <w:numId w:val="39"/>
        </w:numPr>
      </w:pPr>
      <w:r>
        <w:t>Die Gruppe von Menschen, di</w:t>
      </w:r>
      <w:r w:rsidR="00933B8B">
        <w:t>e von der Thematik der Vereinsamung (im Alter) b</w:t>
      </w:r>
      <w:r w:rsidR="00933B8B">
        <w:t>e</w:t>
      </w:r>
      <w:r w:rsidR="00933B8B">
        <w:t>troffen sind, wird größer werden als Folge der Kinderlosigkeit bzw. der multilok</w:t>
      </w:r>
      <w:r w:rsidR="00933B8B">
        <w:t>a</w:t>
      </w:r>
      <w:r w:rsidR="00933B8B">
        <w:t>len Familiensituationen.</w:t>
      </w:r>
    </w:p>
    <w:p w:rsidR="00933B8B" w:rsidRDefault="00933B8B" w:rsidP="00933B8B">
      <w:pPr>
        <w:ind w:left="360"/>
      </w:pPr>
      <w:r>
        <w:t>Hier kann die Selbsthilfe eine familienersetzende Struktur bilden.</w:t>
      </w:r>
    </w:p>
    <w:p w:rsidR="00933B8B" w:rsidRDefault="00933B8B" w:rsidP="00933B8B">
      <w:pPr>
        <w:pStyle w:val="Listenabsatz"/>
        <w:numPr>
          <w:ilvl w:val="0"/>
          <w:numId w:val="39"/>
        </w:numPr>
      </w:pPr>
      <w:r>
        <w:lastRenderedPageBreak/>
        <w:t>Wo es keine interaktiven Familienstrukturen gibt, müssen die sonst von Familie</w:t>
      </w:r>
      <w:r>
        <w:t>n</w:t>
      </w:r>
      <w:r>
        <w:t>angehörigen geleisteten Unterstützungen aller Art im Wege von „Dienstleistu</w:t>
      </w:r>
      <w:r>
        <w:t>n</w:t>
      </w:r>
      <w:r>
        <w:t>gen“ geschaffen werden.</w:t>
      </w:r>
    </w:p>
    <w:p w:rsidR="00933B8B" w:rsidRDefault="00933B8B" w:rsidP="00933B8B">
      <w:pPr>
        <w:ind w:left="360"/>
      </w:pPr>
      <w:r>
        <w:t>Es ist zu diskutieren, ob die Selbsthilfe sich daher durch eine Ausweitung von A</w:t>
      </w:r>
      <w:r>
        <w:t>n</w:t>
      </w:r>
      <w:r>
        <w:t>geboten, deren Refinanzierung durch Beiträge und Gebühren in noch größerem Umfang zu Dienstleistern weiterentwickeln sollte.</w:t>
      </w:r>
    </w:p>
    <w:p w:rsidR="00933B8B" w:rsidRDefault="00933B8B" w:rsidP="00933B8B">
      <w:pPr>
        <w:ind w:left="360"/>
      </w:pPr>
      <w:r>
        <w:t>Jedenfalls wird die Bedeutung von beratungsangeboten der Selbsthilfe zunehmen, anhand derer vorhandene Dienstleistungsangebote aufgezeigt und bewertet we</w:t>
      </w:r>
      <w:r>
        <w:t>r</w:t>
      </w:r>
      <w:r>
        <w:t>den können.</w:t>
      </w:r>
    </w:p>
    <w:p w:rsidR="008B71C2" w:rsidRDefault="00D67DA6" w:rsidP="00D67DA6">
      <w:pPr>
        <w:jc w:val="center"/>
        <w:rPr>
          <w:rFonts w:eastAsia="Calibri" w:cs="Calibri"/>
          <w:szCs w:val="24"/>
        </w:rPr>
      </w:pPr>
      <w:r w:rsidRPr="00D67DA6">
        <w:rPr>
          <w:noProof/>
          <w:lang w:eastAsia="de-DE"/>
        </w:rPr>
        <w:drawing>
          <wp:inline distT="0" distB="0" distL="0" distR="0">
            <wp:extent cx="3076575" cy="4517438"/>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993" cy="4560633"/>
                    </a:xfrm>
                    <a:prstGeom prst="rect">
                      <a:avLst/>
                    </a:prstGeom>
                    <a:noFill/>
                    <a:ln>
                      <a:noFill/>
                    </a:ln>
                  </pic:spPr>
                </pic:pic>
              </a:graphicData>
            </a:graphic>
          </wp:inline>
        </w:drawing>
      </w:r>
      <w:r w:rsidR="008B71C2">
        <w:rPr>
          <w:rFonts w:eastAsia="Calibri" w:cs="Calibri"/>
          <w:szCs w:val="24"/>
        </w:rPr>
        <w:br w:type="page"/>
      </w:r>
    </w:p>
    <w:p w:rsidR="00DB6DE3" w:rsidRPr="00FB6C18" w:rsidRDefault="00D67DA6" w:rsidP="00FB6C18">
      <w:pPr>
        <w:pStyle w:val="Listenabsatz"/>
        <w:keepNext/>
        <w:keepLines/>
        <w:numPr>
          <w:ilvl w:val="0"/>
          <w:numId w:val="46"/>
        </w:numPr>
        <w:spacing w:before="200" w:after="240"/>
        <w:jc w:val="both"/>
        <w:outlineLvl w:val="1"/>
        <w:rPr>
          <w:rFonts w:eastAsia="Times New Roman" w:cs="Calibri"/>
          <w:b/>
          <w:bCs/>
          <w:sz w:val="28"/>
          <w:szCs w:val="24"/>
        </w:rPr>
      </w:pPr>
      <w:bookmarkStart w:id="15" w:name="_Toc13216669"/>
      <w:bookmarkStart w:id="16" w:name="_Toc524415341"/>
      <w:r w:rsidRPr="00FB6C18">
        <w:rPr>
          <w:rFonts w:eastAsia="Times New Roman" w:cs="Calibri"/>
          <w:b/>
          <w:bCs/>
          <w:sz w:val="28"/>
          <w:szCs w:val="24"/>
        </w:rPr>
        <w:lastRenderedPageBreak/>
        <w:t>Bedeutung des Wandels für die Selbsthilfe</w:t>
      </w:r>
      <w:bookmarkEnd w:id="15"/>
      <w:r w:rsidRPr="00FB6C18">
        <w:rPr>
          <w:rFonts w:eastAsia="Times New Roman" w:cs="Calibri"/>
          <w:b/>
          <w:bCs/>
          <w:sz w:val="28"/>
          <w:szCs w:val="24"/>
        </w:rPr>
        <w:t xml:space="preserve"> </w:t>
      </w:r>
      <w:bookmarkEnd w:id="16"/>
    </w:p>
    <w:p w:rsidR="00D67DA6" w:rsidRDefault="00D67DA6" w:rsidP="00D67DA6">
      <w:r w:rsidRPr="000F6F00">
        <w:t>Selbsthilfegruppen sind in ihrer Entstehung und ihren Wirkungen familienbezogen, -ergänzend und -entlastend. Das zeigt sich beispielsweise in der Vielzahl von best</w:t>
      </w:r>
      <w:r w:rsidRPr="000F6F00">
        <w:t>e</w:t>
      </w:r>
      <w:r w:rsidRPr="000F6F00">
        <w:t>henden Angehörigengruppen. Betroffene Menschen sowie An- und Zugehörige, die in Selbsthilfegruppen aktiv sind, haben im Setting eines sorgenden Netzes eine zentrale Stellung. Der Austausch, die gegenseitige Hilfe und gemeinsames Handeln - wie in Gruppen der gemeinschaftlichen Selbsthilfe üblich - sind die tragenden Elemente eines sorgenden Netzes.</w:t>
      </w:r>
      <w:r w:rsidR="00FD06EB">
        <w:t xml:space="preserve"> Aus diesem Grunde ist die Selbsthilfe grundsätzlich darauf ausgerichtet, familienbezogene Situationen aufzugreifen. Dies ist prinzipiell eine günstige Ausgangslage, um die aufgezeigten Veränderungen zu einer Weiterentwic</w:t>
      </w:r>
      <w:r w:rsidR="00FD06EB">
        <w:t>k</w:t>
      </w:r>
      <w:r w:rsidR="00FD06EB">
        <w:t>lung der Selbsthilfearbeit zu nutzen.</w:t>
      </w:r>
    </w:p>
    <w:p w:rsidR="00FD06EB" w:rsidRDefault="00FD06EB" w:rsidP="00D67DA6">
      <w:r>
        <w:t>Es gibt aber auch Aspekte, die die notwenigen Weiterentwicklungen erschweren:</w:t>
      </w:r>
    </w:p>
    <w:p w:rsidR="00D67DA6" w:rsidRPr="000F6F00" w:rsidRDefault="00D67DA6" w:rsidP="00FD06EB">
      <w:pPr>
        <w:pStyle w:val="berschrift3"/>
      </w:pPr>
      <w:bookmarkStart w:id="17" w:name="_Toc13216670"/>
      <w:r w:rsidRPr="000F6F00">
        <w:t>Nachwuchskräfte</w:t>
      </w:r>
      <w:r w:rsidR="00FD06EB">
        <w:t xml:space="preserve"> in der Selbsthilfe finden</w:t>
      </w:r>
      <w:bookmarkEnd w:id="17"/>
    </w:p>
    <w:p w:rsidR="00D67DA6" w:rsidRPr="000F6F00" w:rsidRDefault="00D67DA6" w:rsidP="00FD06EB">
      <w:r w:rsidRPr="000F6F00">
        <w:t>Die seit Jahrzehnten sinkende Geburtenrate führt in erster Linie dazu, dass weniger Nachwuchskräfte, beziehungsweise potenzielle Ehrenamtliche, für die Selbsthilfea</w:t>
      </w:r>
      <w:r w:rsidRPr="000F6F00">
        <w:t>r</w:t>
      </w:r>
      <w:r w:rsidRPr="000F6F00">
        <w:t>beit zur Verfügung stehen. Diese Entwicklung stellt zahlreiche Selbsthilfeorganisati</w:t>
      </w:r>
      <w:r w:rsidRPr="000F6F00">
        <w:t>o</w:t>
      </w:r>
      <w:r w:rsidRPr="000F6F00">
        <w:t>nen bereits heute vor existenzielle Herausforderungen. Es gilt, Lösungen zu finden, wie Nachwuchskräfte für die Selbsthilfearbeit gewonnen und wie der Generatione</w:t>
      </w:r>
      <w:r w:rsidRPr="000F6F00">
        <w:t>n</w:t>
      </w:r>
      <w:r w:rsidRPr="000F6F00">
        <w:t xml:space="preserve">wechsel innerhalb der Verbände erfolgreich vollzogen werden kann. </w:t>
      </w:r>
    </w:p>
    <w:p w:rsidR="00D67DA6" w:rsidRPr="000F6F00" w:rsidRDefault="00D67DA6" w:rsidP="00FD06EB">
      <w:r w:rsidRPr="000F6F00">
        <w:t>Weiterhin gilt es, die Bedürfnisse und die heutige Lebensweise der jungen Menschen im Rahmen der Mitgliedergewinnungsstrategien besser zu berücksichtigen. Eine St</w:t>
      </w:r>
      <w:r w:rsidRPr="000F6F00">
        <w:t>u</w:t>
      </w:r>
      <w:r w:rsidRPr="000F6F00">
        <w:t>die aus dem Jahr 2010, in die die Ergebnisse von 72 Studien aus den Jahren 1979 bis 2009 einflossen, ergab, dass ein sehr großer Anteil der jungen Menschen in Industri</w:t>
      </w:r>
      <w:r w:rsidRPr="000F6F00">
        <w:t>e</w:t>
      </w:r>
      <w:r w:rsidRPr="000F6F00">
        <w:t>nationen heute über ein geringeres Empathievermögen und über weniger Gemei</w:t>
      </w:r>
      <w:r w:rsidRPr="000F6F00">
        <w:t>n</w:t>
      </w:r>
      <w:r w:rsidRPr="000F6F00">
        <w:t xml:space="preserve">schaftssinn verfügt, als junge Menschen vor 30 Jahren. Die Ursachen hierfür sind noch nicht abschließend geklärt, vermutet wird jedoch ein Zusammenhang zwischen </w:t>
      </w:r>
      <w:r w:rsidRPr="000F6F00">
        <w:lastRenderedPageBreak/>
        <w:t>der wachsenden Online-Kommunikation, der Nutzung der Sozialen Medien und der zunehmenden Konkurrenz innerhalb der Gesellschaft (Konrath, 2010). Im Hinblick auf die Gewinnung junger Selbsthilfeengagierter wird sich die Selbsthilfe mit dieser Ta</w:t>
      </w:r>
      <w:r w:rsidRPr="000F6F00">
        <w:t>t</w:t>
      </w:r>
      <w:r w:rsidRPr="000F6F00">
        <w:t xml:space="preserve">sache auseinandersetzen und ihre Strategien zur Mitgliedergewinnung entsprechend anpassen müssen. </w:t>
      </w:r>
    </w:p>
    <w:p w:rsidR="00D67DA6" w:rsidRPr="000F6F00" w:rsidRDefault="00D67DA6" w:rsidP="00FD06EB">
      <w:pPr>
        <w:pStyle w:val="berschrift3"/>
      </w:pPr>
      <w:bookmarkStart w:id="18" w:name="_Toc13216671"/>
      <w:r w:rsidRPr="000F6F00">
        <w:t>Erwerbstätigkeit nach dem Renteneintritt</w:t>
      </w:r>
      <w:bookmarkEnd w:id="18"/>
    </w:p>
    <w:p w:rsidR="00D67DA6" w:rsidRPr="000F6F00" w:rsidRDefault="00D67DA6" w:rsidP="00FD06EB">
      <w:r w:rsidRPr="000F6F00">
        <w:t>Viele Menschen engagierten sich in der Vergangenheit auch oder insbesondere nach dem Eintritt in das Rentenalter. Diese Tatsache schlägt sich mitunter auch in dem Umstand nieder, dass das Durchschnittsalter innerhalb der Verbände und insbesond</w:t>
      </w:r>
      <w:r w:rsidRPr="000F6F00">
        <w:t>e</w:t>
      </w:r>
      <w:r w:rsidRPr="000F6F00">
        <w:t>re in den Vorständen stetig weiter zunimmt. Vor dem Hintergrund, dass immer mehr Menschen nach dem Renteneintritt einer Erwerbstätigkeit nachgehen möchten oder müssen, ist davon auszugehen, dass die Zahl ehrenamtlich aktiver Senioren vorau</w:t>
      </w:r>
      <w:r w:rsidRPr="000F6F00">
        <w:t>s</w:t>
      </w:r>
      <w:r w:rsidRPr="000F6F00">
        <w:t xml:space="preserve">sichtlich abnehmen wird. </w:t>
      </w:r>
    </w:p>
    <w:p w:rsidR="00D67DA6" w:rsidRPr="000F6F00" w:rsidRDefault="00D67DA6" w:rsidP="00FD06EB">
      <w:pPr>
        <w:pStyle w:val="berschrift3"/>
      </w:pPr>
      <w:bookmarkStart w:id="19" w:name="_Toc13216672"/>
      <w:r w:rsidRPr="000F6F00">
        <w:t>Die Sandwich- Generation</w:t>
      </w:r>
      <w:bookmarkEnd w:id="19"/>
    </w:p>
    <w:p w:rsidR="00D67DA6" w:rsidRDefault="00D67DA6" w:rsidP="00FD06EB">
      <w:r w:rsidRPr="000F6F00">
        <w:t xml:space="preserve">Und auch das </w:t>
      </w:r>
      <w:proofErr w:type="spellStart"/>
      <w:r w:rsidRPr="000F6F00">
        <w:t>Engagementpotenzial</w:t>
      </w:r>
      <w:proofErr w:type="spellEnd"/>
      <w:r w:rsidRPr="000F6F00">
        <w:t xml:space="preserve"> der Menschen im mittleren Lebensalter wird, in Anbetracht der aktuellen arbeitsmarkt-, pflege-, und familienpolitischen Bedingu</w:t>
      </w:r>
      <w:r w:rsidRPr="000F6F00">
        <w:t>n</w:t>
      </w:r>
      <w:r w:rsidRPr="000F6F00">
        <w:t xml:space="preserve">gen, voraussichtlich in den kommenden Jahren weiter abnehmen. Es gilt, zeitnah ressortübergreifende Strategien zu entwickeln, die eine bessere Vereinbarkeit von Beruf, Familie, Pflege und Ehrenamt ermöglichen. </w:t>
      </w:r>
    </w:p>
    <w:p w:rsidR="00FD06EB" w:rsidRDefault="00FD06EB" w:rsidP="00D67DA6">
      <w:pPr>
        <w:spacing w:after="0"/>
        <w:jc w:val="both"/>
        <w:rPr>
          <w:rFonts w:cs="Arial"/>
          <w:color w:val="000000" w:themeColor="text1"/>
          <w:szCs w:val="24"/>
        </w:rPr>
      </w:pPr>
    </w:p>
    <w:p w:rsidR="00FD06EB" w:rsidRPr="000F6F00" w:rsidRDefault="00FD06EB" w:rsidP="00FD06EB">
      <w:pPr>
        <w:spacing w:after="0"/>
        <w:jc w:val="center"/>
        <w:rPr>
          <w:rFonts w:cs="Arial"/>
          <w:color w:val="000000" w:themeColor="text1"/>
          <w:szCs w:val="24"/>
        </w:rPr>
      </w:pPr>
      <w:r w:rsidRPr="00FD06EB">
        <w:rPr>
          <w:noProof/>
          <w:lang w:eastAsia="de-DE"/>
        </w:rPr>
        <w:lastRenderedPageBreak/>
        <w:drawing>
          <wp:inline distT="0" distB="0" distL="0" distR="0">
            <wp:extent cx="3314700" cy="3099243"/>
            <wp:effectExtent l="0" t="0" r="0" b="635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38607" cy="3215096"/>
                    </a:xfrm>
                    <a:prstGeom prst="rect">
                      <a:avLst/>
                    </a:prstGeom>
                    <a:noFill/>
                    <a:ln>
                      <a:noFill/>
                    </a:ln>
                  </pic:spPr>
                </pic:pic>
              </a:graphicData>
            </a:graphic>
          </wp:inline>
        </w:drawing>
      </w:r>
    </w:p>
    <w:p w:rsidR="00FD06EB" w:rsidRDefault="00FD06EB">
      <w:pPr>
        <w:spacing w:after="0" w:line="240" w:lineRule="auto"/>
        <w:rPr>
          <w:rFonts w:cs="Arial"/>
          <w:color w:val="000000" w:themeColor="text1"/>
          <w:szCs w:val="24"/>
        </w:rPr>
      </w:pPr>
      <w:r>
        <w:rPr>
          <w:rFonts w:cs="Arial"/>
          <w:color w:val="000000" w:themeColor="text1"/>
          <w:szCs w:val="24"/>
        </w:rPr>
        <w:br w:type="page"/>
      </w:r>
    </w:p>
    <w:p w:rsidR="00D67DA6" w:rsidRPr="000F6F00" w:rsidRDefault="00D67DA6" w:rsidP="00D67DA6">
      <w:pPr>
        <w:spacing w:after="0"/>
        <w:jc w:val="both"/>
        <w:rPr>
          <w:rFonts w:cs="Arial"/>
          <w:color w:val="000000" w:themeColor="text1"/>
          <w:szCs w:val="24"/>
        </w:rPr>
      </w:pPr>
    </w:p>
    <w:p w:rsidR="00D67DA6" w:rsidRPr="000F6F00" w:rsidRDefault="00D67DA6" w:rsidP="00FD06EB">
      <w:pPr>
        <w:pStyle w:val="berschrift3"/>
      </w:pPr>
      <w:bookmarkStart w:id="20" w:name="_Toc13216673"/>
      <w:r w:rsidRPr="000F6F00">
        <w:t>Der demografische Wandel - Eine Chance für die Selbsthilfe?</w:t>
      </w:r>
      <w:bookmarkEnd w:id="20"/>
      <w:r w:rsidRPr="000F6F00">
        <w:t xml:space="preserve"> </w:t>
      </w:r>
    </w:p>
    <w:p w:rsidR="00D67DA6" w:rsidRDefault="00D67DA6" w:rsidP="00FD06EB">
      <w:r w:rsidRPr="000F6F00">
        <w:t>Obgleich der demografische Wandel die gesundheitsbezogene Selbsthilfe vor große Herausforderungen stellt, so eröffnet er doch auch Chancen. Die Voraussetzung ist jedoch, dass der Wandel aktiv durch die Akteure der Selbsthilfe gestaltet wird. In</w:t>
      </w:r>
      <w:r w:rsidRPr="000F6F00">
        <w:t>s</w:t>
      </w:r>
      <w:r w:rsidRPr="000F6F00">
        <w:t>gesamt muss sich die gesundheitsbezogene Selbsthilfe die Frage stellen, was sie künftig vor dem Hintergrund des demografischen Wandels leisten kann und will und welche Ressourcen sie dafür benötigt.</w:t>
      </w:r>
    </w:p>
    <w:p w:rsidR="00F17072" w:rsidRDefault="00F17072" w:rsidP="00F17072">
      <w:pPr>
        <w:pStyle w:val="berschrift3"/>
      </w:pPr>
      <w:bookmarkStart w:id="21" w:name="_Toc13216674"/>
      <w:r>
        <w:t>Familienorientierte Selbsthilfearbeit</w:t>
      </w:r>
      <w:bookmarkEnd w:id="21"/>
    </w:p>
    <w:p w:rsidR="00F17072" w:rsidRDefault="00F17072" w:rsidP="00F17072">
      <w:r>
        <w:t>In einem ersten Schritt ist es wichtig, dass sich die Arbeit der Selbsthilfeorganisati</w:t>
      </w:r>
      <w:r>
        <w:t>o</w:t>
      </w:r>
      <w:r>
        <w:t>nen chronisch kranker und behinderter Menschen nicht nur auf die Unterstützung von Einzelpersonen fokussieren darf.</w:t>
      </w:r>
    </w:p>
    <w:p w:rsidR="00F17072" w:rsidRDefault="00F17072" w:rsidP="00F17072">
      <w:r>
        <w:t>Die ganze Familie des Betroffenen ist in den Blick zu nehmen – auch und gerade in Zeiten prekärer Familienstrukturen.</w:t>
      </w:r>
    </w:p>
    <w:p w:rsidR="00F17072" w:rsidRPr="00F17072" w:rsidRDefault="00F17072" w:rsidP="00F17072">
      <w:r>
        <w:t>Siehe h</w:t>
      </w:r>
      <w:r w:rsidR="00FD1755">
        <w:t>i</w:t>
      </w:r>
      <w:r>
        <w:t xml:space="preserve">erzu den </w:t>
      </w:r>
      <w:r w:rsidR="00FD1755">
        <w:t>L</w:t>
      </w:r>
      <w:r>
        <w:t>eitfaden „Familienorientierte Selbsthilfe“</w:t>
      </w:r>
      <w:r w:rsidR="00FD1755">
        <w:t>:</w:t>
      </w:r>
      <w:r w:rsidR="00FD1755">
        <w:br/>
      </w:r>
      <w:hyperlink r:id="rId13" w:history="1">
        <w:r w:rsidR="00FD1755" w:rsidRPr="00945492">
          <w:rPr>
            <w:rStyle w:val="Hyperlink"/>
          </w:rPr>
          <w:t>https://www.bag-selbsthilfe.de/informationsportal-selbsthilfe-aktive/projekte/familienorientierte-selbsthilfe/</w:t>
        </w:r>
      </w:hyperlink>
      <w:r w:rsidR="00FD1755">
        <w:t xml:space="preserve"> </w:t>
      </w:r>
    </w:p>
    <w:p w:rsidR="00D67DA6" w:rsidRPr="000F6F00" w:rsidRDefault="00FD1755" w:rsidP="00FD1755">
      <w:pPr>
        <w:pStyle w:val="berschrift3"/>
      </w:pPr>
      <w:bookmarkStart w:id="22" w:name="_Toc13216675"/>
      <w:r>
        <w:t>Strategien gegen Vereinsamung</w:t>
      </w:r>
      <w:bookmarkEnd w:id="22"/>
    </w:p>
    <w:p w:rsidR="00D67DA6" w:rsidRPr="000F6F00" w:rsidRDefault="00D67DA6" w:rsidP="00FD1755">
      <w:r w:rsidRPr="000F6F00">
        <w:t>Eine Studie des Allensbacher Instituts belegt, dass Familienmitglieder bei der Pflege ihrer Angehörigen in erster Linie zwischenmenschliche Dienstleistungen erbringen. Dies umfasst neben körpernahen Pflegeleistungen (68 %), jedoch insbesondere auch das Gesellschaft leisten (94 %), die Erledigung von Einkäufen (89 %), die Übernahme von Arbeiten im Haushalt (z.B. Reparaturen, Putzen) (73 %) sowie das Vorbereiten oder Zubereiten von Essen (68 %) (Köcher, 2015). Die Selbsthilfe könnte in diesem Zusammenhang einen wesentlichen Beitrag dazu leisten, die Lebensqualität pfleg</w:t>
      </w:r>
      <w:r w:rsidRPr="000F6F00">
        <w:t>e</w:t>
      </w:r>
      <w:r w:rsidRPr="000F6F00">
        <w:lastRenderedPageBreak/>
        <w:t xml:space="preserve">bedürftiger Menschen zu verbessern und sie vor Vereinsamung zu bewahren, wenn entsprechende Unterstützung durch Angehörige oder andere soziale Netze fehlt. </w:t>
      </w:r>
    </w:p>
    <w:p w:rsidR="00D67DA6" w:rsidRPr="000F6F00" w:rsidRDefault="00FD1755" w:rsidP="00FD1755">
      <w:pPr>
        <w:pStyle w:val="berschrift3"/>
      </w:pPr>
      <w:bookmarkStart w:id="23" w:name="_Toc13216676"/>
      <w:r>
        <w:t>Synergien durch Selbsthilfezentren</w:t>
      </w:r>
      <w:bookmarkEnd w:id="23"/>
    </w:p>
    <w:p w:rsidR="00D67DA6" w:rsidRPr="000F6F00" w:rsidRDefault="00D67DA6" w:rsidP="00FD1755">
      <w:r w:rsidRPr="000F6F00">
        <w:t>Eine bessere Vereinbarkeit des Selbsthilfe-Engagements mit Beruf, Familie und Pfl</w:t>
      </w:r>
      <w:r w:rsidRPr="000F6F00">
        <w:t>e</w:t>
      </w:r>
      <w:r w:rsidRPr="000F6F00">
        <w:t>ge könnte beispielsweise durch die Schaffung sogenannter Selbsthilfezentren erreicht werden. Wenn sich mehrere Selbsthilfeorganisationen in einem Gebäude zusamme</w:t>
      </w:r>
      <w:r w:rsidRPr="000F6F00">
        <w:t>n</w:t>
      </w:r>
      <w:r w:rsidRPr="000F6F00">
        <w:t>schließen, so könnten kostengünstig organisationsübergreifende Zusatzangebote a</w:t>
      </w:r>
      <w:r w:rsidRPr="000F6F00">
        <w:t>n</w:t>
      </w:r>
      <w:r w:rsidRPr="000F6F00">
        <w:t>geboten werden, die die Ehrenamtlichen entlasten (Betreuung der Senioren oder Kinder während der Zeit des Engagements). Für die ehrenamtlich Engagierten wü</w:t>
      </w:r>
      <w:r w:rsidRPr="000F6F00">
        <w:t>r</w:t>
      </w:r>
      <w:r w:rsidRPr="000F6F00">
        <w:t xml:space="preserve">den Selbsthilfezentren einen deutlichen Mehrwert bieten, die </w:t>
      </w:r>
      <w:proofErr w:type="spellStart"/>
      <w:r w:rsidRPr="000F6F00">
        <w:t>Engagementberei</w:t>
      </w:r>
      <w:r w:rsidRPr="000F6F00">
        <w:t>t</w:t>
      </w:r>
      <w:r w:rsidRPr="000F6F00">
        <w:t>schaft</w:t>
      </w:r>
      <w:proofErr w:type="spellEnd"/>
      <w:r w:rsidRPr="000F6F00">
        <w:t xml:space="preserve"> könnte gesteigert werden und nicht zuletzt würden auch die Selbsthilfeorgan</w:t>
      </w:r>
      <w:r w:rsidRPr="000F6F00">
        <w:t>i</w:t>
      </w:r>
      <w:r w:rsidRPr="000F6F00">
        <w:t>sationen selbst profitieren, da sie durch das Teilen von Ressourcen Kosten einsparen und damit sinnvolle Investitionen in die Zukunft tätigen könnten (z.B. ein organisat</w:t>
      </w:r>
      <w:r w:rsidRPr="000F6F00">
        <w:t>i</w:t>
      </w:r>
      <w:r w:rsidRPr="000F6F00">
        <w:t xml:space="preserve">onsübergreifender Datenschutz-/ Öffentlichkeitsbeauftragter). </w:t>
      </w:r>
    </w:p>
    <w:p w:rsidR="00D67DA6" w:rsidRPr="000F6F00" w:rsidRDefault="00FD1755" w:rsidP="00FD1755">
      <w:pPr>
        <w:pStyle w:val="berschrift3"/>
      </w:pPr>
      <w:bookmarkStart w:id="24" w:name="_Toc13216677"/>
      <w:r>
        <w:t>Solidaritätsengagement</w:t>
      </w:r>
      <w:bookmarkEnd w:id="24"/>
    </w:p>
    <w:p w:rsidR="00D67DA6" w:rsidRPr="000F6F00" w:rsidRDefault="00D67DA6" w:rsidP="00FD1755">
      <w:r w:rsidRPr="000F6F00">
        <w:t>Denkbar wäre beispielsweise auch ein „Solidaritätsengagement“, welches auf dem Prinzip basiert, dass Vereinsmitglieder sich im Laufe ihres Lebens um ältere Mitgli</w:t>
      </w:r>
      <w:r w:rsidRPr="000F6F00">
        <w:t>e</w:t>
      </w:r>
      <w:r w:rsidRPr="000F6F00">
        <w:t>der kümmern und dafür dann später selbst durch nachkommende Mitglieder betreut werden. Auf diese Weise könnte der Bedarf an professionellen Pflege- und Betre</w:t>
      </w:r>
      <w:r w:rsidRPr="000F6F00">
        <w:t>u</w:t>
      </w:r>
      <w:r w:rsidRPr="000F6F00">
        <w:t>ungsleistungen gesenkt und ein möglichst langes Wohnen in der eigenen Wohnung gesichert werden. Die Selbsthilfe könnte in diesem Zusammenhang eine Mittlerfun</w:t>
      </w:r>
      <w:r w:rsidRPr="000F6F00">
        <w:t>k</w:t>
      </w:r>
      <w:r w:rsidRPr="000F6F00">
        <w:t>tion nach dem Prinzip des Selbsthilfevereins „Wahlverwandtschaften e.V.“ einne</w:t>
      </w:r>
      <w:r w:rsidRPr="000F6F00">
        <w:t>h</w:t>
      </w:r>
      <w:r w:rsidRPr="000F6F00">
        <w:t>men. Das Online-Portal des Vereins bietet eine Plattform zur Herstellung von gener</w:t>
      </w:r>
      <w:r w:rsidRPr="000F6F00">
        <w:t>a</w:t>
      </w:r>
      <w:r w:rsidRPr="000F6F00">
        <w:t>tionenübergreifenden Kontakten zwischen nichtverwandten Menschen mit ähnlichen Anliegen. Ziel soll es sein, fehlende familiäre Kontakte zu ergänzen oder zu ersetzen („Familienersatzstrukturen“), um einer Vereinsamung entgegenzuwirken. Weiterhin soll auch eine Übernahme gegenseitiger Verantwortung erfolgen. Ein rechtlicher A</w:t>
      </w:r>
      <w:r w:rsidRPr="000F6F00">
        <w:t>n</w:t>
      </w:r>
      <w:r w:rsidRPr="000F6F00">
        <w:lastRenderedPageBreak/>
        <w:t>spruch zwischen den „Wahlverwandten“ besteht jedoch nicht (Wahlverwandtscha</w:t>
      </w:r>
      <w:r w:rsidRPr="000F6F00">
        <w:t>f</w:t>
      </w:r>
      <w:r w:rsidRPr="000F6F00">
        <w:t xml:space="preserve">ten e.V., 2018).  </w:t>
      </w:r>
    </w:p>
    <w:p w:rsidR="00D67DA6" w:rsidRPr="000F6F00" w:rsidRDefault="00D67DA6" w:rsidP="00FD1755">
      <w:r w:rsidRPr="000F6F00">
        <w:t>In Frankreich sind die Entwicklungen in diesem Bereich mit dem „Zivilen Solidar</w:t>
      </w:r>
      <w:r w:rsidRPr="000F6F00">
        <w:t>i</w:t>
      </w:r>
      <w:r w:rsidRPr="000F6F00">
        <w:t>tätspakt“ bereits weiter fortgeschritten. Im Jahre 1999 wurde in Frankreich mit dem zivilen Solidaritätspakt (PACS) eine wegweisende Alternative zur Ehe und/ oder Eh</w:t>
      </w:r>
      <w:r w:rsidRPr="000F6F00">
        <w:t>e</w:t>
      </w:r>
      <w:r w:rsidRPr="000F6F00">
        <w:t>losigkeit eingeführt, die sich immer größerer Beliebtheit erfreut. Im Jahr 2007 wu</w:t>
      </w:r>
      <w:r w:rsidRPr="000F6F00">
        <w:t>r</w:t>
      </w:r>
      <w:r w:rsidRPr="000F6F00">
        <w:t>den 266.500 Ehen und 102.000 „Solidaritätspakte“ geschlossen. Tendenz steigend. Beim PACS handelt es sich um eine zivilrechtliche Partnerschaft mit gemeinsamer steuerlicher Veranlagung und steuerlich günstigeren Erbbestimmungen. Der Solidar</w:t>
      </w:r>
      <w:r w:rsidRPr="000F6F00">
        <w:t>i</w:t>
      </w:r>
      <w:r w:rsidRPr="000F6F00">
        <w:t>tätspakt ist nicht abhängig von der sexuellen Orientierung oder vom Geschlecht der Partner. Erhebungen zufolge, wird der Vertrag jedoch in 95 % der Fälle zwischen Partnern unterschiedlichen Geschlechts geschlossen. Die Partnerschaft verpflichtet zu gegenseitiger Hilfe, wobei den Partnern bei der Regelung dieser Hilfspflichten Freiheiten für die individuelle Ausgestaltung in Detailfragen offenstehen. Der Vertrag kann von einer Seite mit einer Frist von drei Monaten aufgelöst werden. Hierin b</w:t>
      </w:r>
      <w:r w:rsidRPr="000F6F00">
        <w:t>e</w:t>
      </w:r>
      <w:r w:rsidRPr="000F6F00">
        <w:t>steht ein wesentlicher Unterschied zur Ehe. Alternativen zur Ehe, ähnlich dem PACS, wurden zwischenzeitlich auch in Chile (2015), Österreich (2010) und Luxemburg (2004) eingeführt (</w:t>
      </w:r>
      <w:proofErr w:type="spellStart"/>
      <w:r w:rsidRPr="000F6F00">
        <w:t>Huinink</w:t>
      </w:r>
      <w:proofErr w:type="spellEnd"/>
      <w:r w:rsidRPr="000F6F00">
        <w:t>, 2009).</w:t>
      </w:r>
    </w:p>
    <w:p w:rsidR="00D67DA6" w:rsidRPr="000F6F00" w:rsidRDefault="00D67DA6" w:rsidP="00FD1755">
      <w:pPr>
        <w:pStyle w:val="berschrift3"/>
      </w:pPr>
      <w:bookmarkStart w:id="25" w:name="_Toc13216678"/>
      <w:r w:rsidRPr="000F6F00">
        <w:t>Generationenvertrag</w:t>
      </w:r>
      <w:bookmarkEnd w:id="25"/>
    </w:p>
    <w:p w:rsidR="00D67DA6" w:rsidRPr="000F6F00" w:rsidRDefault="00D67DA6" w:rsidP="00FD1755">
      <w:r w:rsidRPr="000F6F00">
        <w:t>Mit dem Generationenvertrag wird der unausgesprochene „Vertrag“ zwischen der beitragszahlenden und der Renten empfangenden Generation bezeichnet. Diese „S</w:t>
      </w:r>
      <w:r w:rsidRPr="000F6F00">
        <w:t>o</w:t>
      </w:r>
      <w:r w:rsidRPr="000F6F00">
        <w:t>lidarität zwischen den Generationen“ beinhaltet die Verpflichtung der arbeitenden Generation zur Beitragszahlung in der Erwartung, dass die ihr nachfolgende Gener</w:t>
      </w:r>
      <w:r w:rsidRPr="000F6F00">
        <w:t>a</w:t>
      </w:r>
      <w:r w:rsidRPr="000F6F00">
        <w:t>tion die gleiche Verpflichtung übernimmt (BPB, 2016).</w:t>
      </w:r>
    </w:p>
    <w:p w:rsidR="00D67DA6" w:rsidRPr="000F6F00" w:rsidRDefault="00D67DA6" w:rsidP="00FD1755">
      <w:r w:rsidRPr="000F6F00">
        <w:t>In Anbetracht des demografischen Wandels ist eine Revision des Generationenve</w:t>
      </w:r>
      <w:r w:rsidRPr="000F6F00">
        <w:t>r</w:t>
      </w:r>
      <w:r w:rsidRPr="000F6F00">
        <w:t xml:space="preserve">trags jedoch dringend erforderlich geworden, denn dieser regelt viel mehr als die bloße Finanzierung der Altersvorsorge, nämlich die wechselseitigen Abhängigkeiten </w:t>
      </w:r>
      <w:r w:rsidRPr="000F6F00">
        <w:lastRenderedPageBreak/>
        <w:t>von nunmehr vier Generationen gleichzeitig: Kinder und Jugendliche, Erwerbstätige, Jungrentner und Hochbetagte. Die Generationensolidarität muss vor dem Hinte</w:t>
      </w:r>
      <w:r w:rsidRPr="000F6F00">
        <w:t>r</w:t>
      </w:r>
      <w:r w:rsidRPr="000F6F00">
        <w:t>grund des demografischen Wandels damit neu definiert werden.</w:t>
      </w:r>
    </w:p>
    <w:p w:rsidR="00D67DA6" w:rsidRPr="000F6F00" w:rsidRDefault="00D67DA6" w:rsidP="00FD1755">
      <w:r w:rsidRPr="000F6F00">
        <w:t>Einen weiteren Aspekt, den es nicht außer Acht zu lassen gilt, ist die Finanzierung. Der demografische Wandel wirkt sich zweifellos negativ auf die Sozialsysteme aus und dieser Effekt wird sich, Prognosen zufolge, in den kommenden Jahren noch we</w:t>
      </w:r>
      <w:r w:rsidRPr="000F6F00">
        <w:t>i</w:t>
      </w:r>
      <w:r w:rsidRPr="000F6F00">
        <w:t>ter verschlimmern. Durch den Geburtenrückgang und die zunehmende Überalterung der Gesellschaft wird der Generationenvertrag immer weiter strapaziert. Immer mehr alte Menschen müssen finanziell von einer immer kleiner werdenden, nac</w:t>
      </w:r>
      <w:r w:rsidRPr="000F6F00">
        <w:t>h</w:t>
      </w:r>
      <w:r w:rsidRPr="000F6F00">
        <w:t>kommenden Generation finanziell versorgt werden. Und auch die Sozialsysteme we</w:t>
      </w:r>
      <w:r w:rsidRPr="000F6F00">
        <w:t>r</w:t>
      </w:r>
      <w:r w:rsidRPr="000F6F00">
        <w:t>den durch die Entwicklung massiv belastet. Bei steigenden Pro-Kopf-Ausgaben im solidarisch angelegten Gesundheitssystem müssen letztlich entweder die Beiträge erhöht oder Leistungen eingespart werden, was zu Leistungskürzungen für die g</w:t>
      </w:r>
      <w:r w:rsidRPr="000F6F00">
        <w:t>e</w:t>
      </w:r>
      <w:r w:rsidRPr="000F6F00">
        <w:t>sundheitsbezogene Selbsthilfe führen kann. Es gilt also, die Finanzierung der Selbs</w:t>
      </w:r>
      <w:r w:rsidRPr="000F6F00">
        <w:t>t</w:t>
      </w:r>
      <w:r w:rsidRPr="000F6F00">
        <w:t>hilfearbeit über die nächsten Jahre hinaus solide abzusichern, da sonst die Selbsthi</w:t>
      </w:r>
      <w:r w:rsidRPr="000F6F00">
        <w:t>l</w:t>
      </w:r>
      <w:r w:rsidRPr="000F6F00">
        <w:t xml:space="preserve">fearbeit nicht in der Form aufrechterhalten oder ausgebaut werden kann, wie es dringend geboten wäre. </w:t>
      </w:r>
    </w:p>
    <w:p w:rsidR="00FF5205" w:rsidRDefault="00FF5205">
      <w:pPr>
        <w:spacing w:line="240" w:lineRule="auto"/>
        <w:rPr>
          <w:rFonts w:eastAsia="Calibri" w:cs="Calibri"/>
          <w:b/>
          <w:szCs w:val="24"/>
        </w:rPr>
      </w:pPr>
      <w:r>
        <w:rPr>
          <w:rFonts w:eastAsia="Calibri" w:cs="Calibri"/>
          <w:b/>
          <w:szCs w:val="24"/>
        </w:rPr>
        <w:br w:type="page"/>
      </w:r>
    </w:p>
    <w:p w:rsidR="00DB6DE3" w:rsidRPr="00FB6C18" w:rsidRDefault="00FD1755" w:rsidP="00FB6C18">
      <w:pPr>
        <w:pStyle w:val="Listenabsatz"/>
        <w:keepNext/>
        <w:keepLines/>
        <w:numPr>
          <w:ilvl w:val="0"/>
          <w:numId w:val="46"/>
        </w:numPr>
        <w:spacing w:before="200" w:after="240"/>
        <w:jc w:val="both"/>
        <w:outlineLvl w:val="1"/>
        <w:rPr>
          <w:rFonts w:eastAsia="Times New Roman" w:cs="Calibri"/>
          <w:b/>
          <w:bCs/>
          <w:sz w:val="32"/>
          <w:szCs w:val="32"/>
        </w:rPr>
      </w:pPr>
      <w:bookmarkStart w:id="26" w:name="_Toc524415342"/>
      <w:bookmarkStart w:id="27" w:name="_Toc13216679"/>
      <w:bookmarkStart w:id="28" w:name="_Hlk13216084"/>
      <w:r w:rsidRPr="00FB6C18">
        <w:rPr>
          <w:rFonts w:eastAsia="Times New Roman" w:cs="Calibri"/>
          <w:b/>
          <w:bCs/>
          <w:sz w:val="32"/>
          <w:szCs w:val="32"/>
        </w:rPr>
        <w:lastRenderedPageBreak/>
        <w:t>Zusammenfassung</w:t>
      </w:r>
      <w:bookmarkEnd w:id="26"/>
      <w:bookmarkEnd w:id="27"/>
    </w:p>
    <w:p w:rsidR="00FD1755" w:rsidRPr="000F6F00" w:rsidRDefault="00FD1755" w:rsidP="00FD1755">
      <w:bookmarkStart w:id="29" w:name="_Toc2630386"/>
      <w:bookmarkEnd w:id="28"/>
      <w:r w:rsidRPr="000F6F00">
        <w:t>Zusammenfassend kann man sagen, dass es in erster Linie die Menschen über 50 Ja</w:t>
      </w:r>
      <w:r w:rsidRPr="000F6F00">
        <w:t>h</w:t>
      </w:r>
      <w:r w:rsidRPr="000F6F00">
        <w:t>re sein werden, die den Generationenwechsel in der Selbsthilfe gestalten werden und die die Zukunftsfähigkeit der Selbsthilfeorganisationen sichern müssen. O</w:t>
      </w:r>
      <w:r w:rsidRPr="000F6F00">
        <w:t>b</w:t>
      </w:r>
      <w:r w:rsidRPr="000F6F00">
        <w:t>gleich, aufgrund des demografischen Wandels, ältere Menschen künftig die Haup</w:t>
      </w:r>
      <w:r w:rsidRPr="000F6F00">
        <w:t>t</w:t>
      </w:r>
      <w:r w:rsidRPr="000F6F00">
        <w:t xml:space="preserve">zielgruppe für die Angebote der gesundheitsbezogenen Selbsthilfe sein werden, darf dennoch nicht die nachkommende Generation potenziell ehrenamtlich Engagierter vergessen werden und es bedarf angepasster Angebote, um den Lebenswirklichkeiten junger Menschen gerechter zu werden und sie für die Selbsthilfearbeit zu gewinnen. </w:t>
      </w:r>
    </w:p>
    <w:p w:rsidR="00FD1755" w:rsidRPr="000F6F00" w:rsidRDefault="00FD1755" w:rsidP="00FD1755">
      <w:r w:rsidRPr="000F6F00">
        <w:t>Vor dem Hintergrund des demografischen Wandels verliert die „klassische Familie“ sowohl quantitativ, als auch qualitativ, zunehmend an Bedeutung. Andere, familie</w:t>
      </w:r>
      <w:r w:rsidRPr="000F6F00">
        <w:t>n</w:t>
      </w:r>
      <w:r w:rsidRPr="000F6F00">
        <w:t xml:space="preserve">ähnliche, sorgende Solidarnetzwerke gewinnen hingegen zunehmend an Bedeutung. Die professionelle Pflege befindet sich bereits heute an der Grenze der Belastbarkeit und in Anbetracht der Auswirkungen des demografischen Wandels wird die Nachfrage nach den Angeboten der gesundheitsbezogenen Selbsthilfe erwartungsgemäß steigen. </w:t>
      </w:r>
    </w:p>
    <w:p w:rsidR="00FD1755" w:rsidRPr="000F6F00" w:rsidRDefault="00FD1755" w:rsidP="00FD1755">
      <w:r w:rsidRPr="000F6F00">
        <w:t>Dennoch muss sich die Selbsthilfe mit der Frage auseinandersetzen, was sie vor di</w:t>
      </w:r>
      <w:r w:rsidRPr="000F6F00">
        <w:t>e</w:t>
      </w:r>
      <w:r w:rsidRPr="000F6F00">
        <w:t>sem Hintergrund leisten kann und will und welche Ressourcen sie dafür benötigt. Insbesondere bei der Erbringung zwischenmenschlicher Dienstleistungen (z.B. Gesel</w:t>
      </w:r>
      <w:r w:rsidRPr="000F6F00">
        <w:t>l</w:t>
      </w:r>
      <w:r w:rsidRPr="000F6F00">
        <w:t>schaft leisten, Hilfe im Haushalt) könnte die Selbsthilfe eine bedeutende Rolle spi</w:t>
      </w:r>
      <w:r w:rsidRPr="000F6F00">
        <w:t>e</w:t>
      </w:r>
      <w:r w:rsidRPr="000F6F00">
        <w:t>len. Dennoch müssen die ehrenamtlich Engagierten hierfür auch Qualifizierungsmö</w:t>
      </w:r>
      <w:r w:rsidRPr="000F6F00">
        <w:t>g</w:t>
      </w:r>
      <w:r w:rsidRPr="000F6F00">
        <w:t xml:space="preserve">lichkeiten sowie Unterstützung durch Hauptamtliche erhalten. </w:t>
      </w:r>
    </w:p>
    <w:p w:rsidR="00A0604F" w:rsidRDefault="00A0604F">
      <w:pPr>
        <w:spacing w:line="240" w:lineRule="auto"/>
        <w:rPr>
          <w:rFonts w:eastAsia="Calibri" w:cs="Calibri"/>
          <w:b/>
          <w:bCs/>
          <w:szCs w:val="24"/>
          <w:lang w:val="de-CH"/>
        </w:rPr>
      </w:pPr>
      <w:r>
        <w:rPr>
          <w:rFonts w:eastAsia="Calibri" w:cs="Calibri"/>
          <w:b/>
          <w:bCs/>
          <w:szCs w:val="24"/>
          <w:lang w:val="de-CH"/>
        </w:rPr>
        <w:br w:type="page"/>
      </w:r>
    </w:p>
    <w:p w:rsidR="00EF60EA" w:rsidRPr="00FB6C18" w:rsidRDefault="00EF60EA" w:rsidP="00FB6C18">
      <w:pPr>
        <w:pStyle w:val="Listenabsatz"/>
        <w:keepNext/>
        <w:keepLines/>
        <w:numPr>
          <w:ilvl w:val="0"/>
          <w:numId w:val="46"/>
        </w:numPr>
        <w:spacing w:before="200" w:after="240"/>
        <w:jc w:val="both"/>
        <w:outlineLvl w:val="1"/>
        <w:rPr>
          <w:rFonts w:eastAsia="Times New Roman" w:cs="Calibri"/>
          <w:b/>
          <w:bCs/>
          <w:sz w:val="32"/>
          <w:szCs w:val="32"/>
        </w:rPr>
      </w:pPr>
      <w:bookmarkStart w:id="30" w:name="_Toc13216680"/>
      <w:bookmarkEnd w:id="29"/>
      <w:r w:rsidRPr="00FB6C18">
        <w:rPr>
          <w:rFonts w:eastAsia="Times New Roman" w:cs="Calibri"/>
          <w:b/>
          <w:bCs/>
          <w:sz w:val="32"/>
          <w:szCs w:val="32"/>
        </w:rPr>
        <w:lastRenderedPageBreak/>
        <w:t>Handlungsempfehlungen</w:t>
      </w:r>
      <w:bookmarkEnd w:id="30"/>
    </w:p>
    <w:p w:rsidR="00FD1755" w:rsidRPr="000F6F00" w:rsidRDefault="00FD1755" w:rsidP="00EF60EA">
      <w:r w:rsidRPr="000F6F00">
        <w:t>Auf Basis der Erkenntnisse dieses Themenfeldpapiers ergeben sich folgende Han</w:t>
      </w:r>
      <w:r w:rsidRPr="000F6F00">
        <w:t>d</w:t>
      </w:r>
      <w:r w:rsidRPr="000F6F00">
        <w:t xml:space="preserve">lungsempfehlungen: </w:t>
      </w:r>
    </w:p>
    <w:p w:rsidR="00FD1755" w:rsidRPr="000F6F00" w:rsidRDefault="00FD1755" w:rsidP="00EF60EA">
      <w:pPr>
        <w:pStyle w:val="Listenabsatz"/>
        <w:numPr>
          <w:ilvl w:val="0"/>
          <w:numId w:val="42"/>
        </w:numPr>
      </w:pPr>
      <w:r w:rsidRPr="00EF60EA">
        <w:rPr>
          <w:b/>
        </w:rPr>
        <w:t>Lobbyarbeit</w:t>
      </w:r>
      <w:r w:rsidRPr="000F6F00">
        <w:t>: Es wäre hilfreich, wenn die Mitgliedsverbände die relevanten Entscheidungsträger bei Mitgliederversammlungen oder Vorstandssitzungen dafür gewinnen könnten, die politischen Entscheidungsträger für eine Einfü</w:t>
      </w:r>
      <w:r w:rsidRPr="000F6F00">
        <w:t>h</w:t>
      </w:r>
      <w:r w:rsidRPr="000F6F00">
        <w:t>rung eines zivilen Solidaritätspakts zu sensibilisieren. Die Selbsthilfe könnte in diesem Zusammenhang als Beraterin auftreten und die Politik bei der Umse</w:t>
      </w:r>
      <w:r w:rsidRPr="000F6F00">
        <w:t>t</w:t>
      </w:r>
      <w:r w:rsidRPr="000F6F00">
        <w:t>zung unterstützen.</w:t>
      </w:r>
      <w:r w:rsidR="00EF60EA">
        <w:br/>
      </w:r>
    </w:p>
    <w:p w:rsidR="00FD1755" w:rsidRPr="000F6F00" w:rsidRDefault="00FD1755" w:rsidP="00EF60EA">
      <w:pPr>
        <w:pStyle w:val="Listenabsatz"/>
        <w:numPr>
          <w:ilvl w:val="0"/>
          <w:numId w:val="42"/>
        </w:numPr>
      </w:pPr>
      <w:r w:rsidRPr="00EF60EA">
        <w:rPr>
          <w:b/>
        </w:rPr>
        <w:t>Selbsthilfezentren</w:t>
      </w:r>
      <w:r w:rsidRPr="000F6F00">
        <w:t>: Es wäre hilfreich, wenn die Mitgliedsverbände die rel</w:t>
      </w:r>
      <w:r w:rsidRPr="000F6F00">
        <w:t>e</w:t>
      </w:r>
      <w:r w:rsidRPr="000F6F00">
        <w:t>vanten Entscheidungsträger bei Mitgliederversammlungen oder Vorstandssi</w:t>
      </w:r>
      <w:r w:rsidRPr="000F6F00">
        <w:t>t</w:t>
      </w:r>
      <w:r w:rsidRPr="000F6F00">
        <w:t>zungen auf die Vorteile der Gründung von Selbsthilfezentren aufmerksam m</w:t>
      </w:r>
      <w:r w:rsidRPr="000F6F00">
        <w:t>a</w:t>
      </w:r>
      <w:r w:rsidRPr="000F6F00">
        <w:t xml:space="preserve">chen könnten. Durch die Bündelung von Ressourcen könnte, sowohl für die Selbsthilfeorganisationen, als auch für die ehrenamtlich Engagierten, eine Win-Win-Situation geschaffen werden. </w:t>
      </w:r>
      <w:r w:rsidR="00EF60EA">
        <w:br/>
      </w:r>
    </w:p>
    <w:p w:rsidR="00FD1755" w:rsidRPr="000F6F00" w:rsidRDefault="00FD1755" w:rsidP="00EF60EA">
      <w:pPr>
        <w:pStyle w:val="Listenabsatz"/>
        <w:numPr>
          <w:ilvl w:val="0"/>
          <w:numId w:val="42"/>
        </w:numPr>
      </w:pPr>
      <w:r w:rsidRPr="00EF60EA">
        <w:rPr>
          <w:b/>
        </w:rPr>
        <w:t>Kooperationen</w:t>
      </w:r>
      <w:r w:rsidRPr="000F6F00">
        <w:t>: Es wäre hilfreich, wenn die Mitgliedsverbände die relevanten Entscheidungsträger bei Mitgliederversammlungen oder Vorstandssitzungen für die Bedeutung von Kooperationen sensibilisieren könnten. Durch die Zusa</w:t>
      </w:r>
      <w:r w:rsidRPr="000F6F00">
        <w:t>m</w:t>
      </w:r>
      <w:r w:rsidRPr="000F6F00">
        <w:t xml:space="preserve">menarbeit mit anderen Einrichtungen und Organisationen der Zivilgesellschaft können die Sichtbarkeit der Selbsthilfe gesteigert und neue Ehrenamtliche gewonnen werden. </w:t>
      </w:r>
      <w:r w:rsidR="00EF60EA">
        <w:br/>
      </w:r>
    </w:p>
    <w:p w:rsidR="00FD1755" w:rsidRPr="000F6F00" w:rsidRDefault="00FD1755" w:rsidP="00EF60EA">
      <w:pPr>
        <w:pStyle w:val="Listenabsatz"/>
        <w:numPr>
          <w:ilvl w:val="0"/>
          <w:numId w:val="42"/>
        </w:numPr>
      </w:pPr>
      <w:r w:rsidRPr="00EF60EA">
        <w:rPr>
          <w:b/>
        </w:rPr>
        <w:t>Engagement:</w:t>
      </w:r>
      <w:r w:rsidRPr="000F6F00">
        <w:t xml:space="preserve"> Es wäre hilfreich, wenn die Mitgliedsverbände die relevanten Entscheidungsträger bei Mitgliederversammlungen oder Vorstandssitzungen dafür sensibilisieren könnten, dass sich der Familienbegriff in den letzten Jahrzehnten gewandelt hat. Insbesondere für Frauen im mittleren Alter g</w:t>
      </w:r>
      <w:r w:rsidRPr="000F6F00">
        <w:t>e</w:t>
      </w:r>
      <w:r w:rsidRPr="000F6F00">
        <w:lastRenderedPageBreak/>
        <w:t>staltet sich die Vereinbarkeit von Familie, Beruf, Pflege und Engagement z</w:t>
      </w:r>
      <w:r w:rsidRPr="000F6F00">
        <w:t>u</w:t>
      </w:r>
      <w:r w:rsidRPr="000F6F00">
        <w:t>nehmend schwieriger. Neue Formen des Engagements (z.B. Digitales Ehre</w:t>
      </w:r>
      <w:r w:rsidRPr="000F6F00">
        <w:t>n</w:t>
      </w:r>
      <w:r w:rsidRPr="000F6F00">
        <w:t xml:space="preserve">amt) sollten entwickelt und erprobt werden. </w:t>
      </w:r>
      <w:r w:rsidR="00EF60EA">
        <w:br/>
      </w:r>
    </w:p>
    <w:p w:rsidR="00FD1755" w:rsidRPr="000F6F00" w:rsidRDefault="00FD1755" w:rsidP="00EF60EA">
      <w:pPr>
        <w:pStyle w:val="Listenabsatz"/>
        <w:numPr>
          <w:ilvl w:val="0"/>
          <w:numId w:val="42"/>
        </w:numPr>
      </w:pPr>
      <w:r w:rsidRPr="00EF60EA">
        <w:rPr>
          <w:b/>
        </w:rPr>
        <w:t>Vergütung:</w:t>
      </w:r>
      <w:r w:rsidRPr="000F6F00">
        <w:t xml:space="preserve"> Immer mehr Menschen müssen oder wollen nach dem regulären Renteneintritt einer Erwerbstätigkeit nachgehen. Häufig führt die Ausübung einer Erwerbstätigkeit zu einer Verringerung des </w:t>
      </w:r>
      <w:proofErr w:type="spellStart"/>
      <w:r w:rsidRPr="000F6F00">
        <w:t>Engagementpotenzials</w:t>
      </w:r>
      <w:proofErr w:type="spellEnd"/>
      <w:r w:rsidRPr="000F6F00">
        <w:t>. Es wäre daher hilfreich, wenn die Mitgliedsverbände die relevanten Entsche</w:t>
      </w:r>
      <w:r w:rsidRPr="000F6F00">
        <w:t>i</w:t>
      </w:r>
      <w:r w:rsidRPr="000F6F00">
        <w:t>dungsträger bei Mitgliederversammlungen oder Vorstandssitzungen dafür se</w:t>
      </w:r>
      <w:r w:rsidRPr="000F6F00">
        <w:t>n</w:t>
      </w:r>
      <w:r w:rsidRPr="000F6F00">
        <w:t>sibilisieren könnten, dass neue Formen der Vergütung des Engagements entw</w:t>
      </w:r>
      <w:r w:rsidRPr="000F6F00">
        <w:t>i</w:t>
      </w:r>
      <w:r w:rsidRPr="000F6F00">
        <w:t xml:space="preserve">ckelt und erprobt werden müssen, um die wachsende Gruppe der Senioren für die Selbsthilfearbeit zu gewinnen. </w:t>
      </w:r>
      <w:r w:rsidR="00EF60EA">
        <w:br/>
      </w:r>
    </w:p>
    <w:p w:rsidR="00FD1755" w:rsidRPr="000F6F00" w:rsidRDefault="00FD1755" w:rsidP="00EF60EA">
      <w:pPr>
        <w:pStyle w:val="Listenabsatz"/>
        <w:numPr>
          <w:ilvl w:val="0"/>
          <w:numId w:val="42"/>
        </w:numPr>
      </w:pPr>
      <w:r w:rsidRPr="00EF60EA">
        <w:rPr>
          <w:b/>
        </w:rPr>
        <w:t>Nachwuchsgewinnung:</w:t>
      </w:r>
      <w:r w:rsidRPr="000F6F00">
        <w:t xml:space="preserve"> Es wäre hilfreich, wenn die Mitgliedsverbände die r</w:t>
      </w:r>
      <w:r w:rsidRPr="000F6F00">
        <w:t>e</w:t>
      </w:r>
      <w:r w:rsidRPr="000F6F00">
        <w:t>levanten Entscheidungsträger bei Mitgliederversammlungen oder Vorstandssi</w:t>
      </w:r>
      <w:r w:rsidRPr="000F6F00">
        <w:t>t</w:t>
      </w:r>
      <w:r w:rsidRPr="000F6F00">
        <w:t>zungen dafür sensibilisieren könnten, dass sich die Lebenswirklichkeiten ju</w:t>
      </w:r>
      <w:r w:rsidRPr="000F6F00">
        <w:t>n</w:t>
      </w:r>
      <w:r w:rsidRPr="000F6F00">
        <w:t>ger Menschen in den letzten Jahrzehnten stark verändert haben. Es müssen neue Strategien zur Gewinnung junger Ehrenamtlicher entwickelt und ein breiteres Angebot für die junge Zielgruppe angeboten werden. Weiterhin mü</w:t>
      </w:r>
      <w:r w:rsidRPr="000F6F00">
        <w:t>s</w:t>
      </w:r>
      <w:r w:rsidRPr="000F6F00">
        <w:t xml:space="preserve">sen Strategien für einen erfolgreichen Generationenwechsel innerhalb der Selbsthilfeorganisationen entwickelt und umgesetzt werden. </w:t>
      </w:r>
      <w:r w:rsidR="00EF60EA">
        <w:br/>
      </w:r>
    </w:p>
    <w:p w:rsidR="00FD1755" w:rsidRPr="000F6F00" w:rsidRDefault="00FD1755" w:rsidP="00EF60EA">
      <w:pPr>
        <w:pStyle w:val="Listenabsatz"/>
        <w:numPr>
          <w:ilvl w:val="0"/>
          <w:numId w:val="42"/>
        </w:numPr>
      </w:pPr>
      <w:r w:rsidRPr="00EF60EA">
        <w:rPr>
          <w:b/>
        </w:rPr>
        <w:t>Neudefinition:</w:t>
      </w:r>
      <w:r w:rsidRPr="000F6F00">
        <w:t xml:space="preserve"> Es wäre hilfreich, wenn die Mitgliedsverbände die relevanten Entscheidungsträger bei Mitgliederversammlungen oder Vorstandssitzungen dafür sensibilisieren könnten, dass die Selbsthilfeorganisationen sich damit auseinandersetzen müssen, was sie vor dem Hintergrund des demografischen Wandels leisten können und wollen und welche Ressourcen sie dafür benöt</w:t>
      </w:r>
      <w:r w:rsidRPr="000F6F00">
        <w:t>i</w:t>
      </w:r>
      <w:r w:rsidRPr="000F6F00">
        <w:t xml:space="preserve">gen. </w:t>
      </w:r>
      <w:r w:rsidR="00EF60EA">
        <w:br/>
      </w:r>
    </w:p>
    <w:p w:rsidR="00FD1755" w:rsidRPr="000F6F00" w:rsidRDefault="00FD1755" w:rsidP="00EF60EA">
      <w:pPr>
        <w:pStyle w:val="Listenabsatz"/>
        <w:numPr>
          <w:ilvl w:val="0"/>
          <w:numId w:val="42"/>
        </w:numPr>
      </w:pPr>
      <w:r w:rsidRPr="00EF60EA">
        <w:rPr>
          <w:b/>
        </w:rPr>
        <w:lastRenderedPageBreak/>
        <w:t xml:space="preserve">Finanzierung: </w:t>
      </w:r>
      <w:r w:rsidRPr="000F6F00">
        <w:t>Es wäre hilfreich, wenn die Mitgliedsverbände die relevanten Entscheidungsträger bei Mitgliederversammlungen oder Vorstandssitzungen dafür sensibilisieren könnten, dass die Finanzierung der Selbsthilfearbeit für die kommenden Jahre und Jahrzehnte solide abgesichert werden muss, damit die Selbsthilfe ihr bisheriges Aufgabenspektrum aufrechterhalten oder geg</w:t>
      </w:r>
      <w:r w:rsidRPr="000F6F00">
        <w:t>e</w:t>
      </w:r>
      <w:r w:rsidRPr="000F6F00">
        <w:t xml:space="preserve">benenfalls erweitern kann.  </w:t>
      </w:r>
      <w:r w:rsidR="00EF60EA">
        <w:br/>
      </w:r>
    </w:p>
    <w:p w:rsidR="00FD1755" w:rsidRPr="000F6F00" w:rsidRDefault="00FD1755" w:rsidP="00EF60EA">
      <w:pPr>
        <w:pStyle w:val="Listenabsatz"/>
        <w:numPr>
          <w:ilvl w:val="0"/>
          <w:numId w:val="42"/>
        </w:numPr>
      </w:pPr>
      <w:r w:rsidRPr="00EF60EA">
        <w:rPr>
          <w:b/>
        </w:rPr>
        <w:t>Sorgende Netze</w:t>
      </w:r>
      <w:r w:rsidRPr="000F6F00">
        <w:t>: Es wäre hilfreich, wenn die Mitgliedsverbände die releva</w:t>
      </w:r>
      <w:r w:rsidRPr="000F6F00">
        <w:t>n</w:t>
      </w:r>
      <w:r w:rsidRPr="000F6F00">
        <w:t>ten Entscheidungsträger bei Mitgliederversammlungen oder Vorstandssitzu</w:t>
      </w:r>
      <w:r w:rsidRPr="000F6F00">
        <w:t>n</w:t>
      </w:r>
      <w:r w:rsidRPr="000F6F00">
        <w:t>gen für die Bedeutung der Selbsthilfe beim Aufbau und der Etablierung „So</w:t>
      </w:r>
      <w:r w:rsidRPr="000F6F00">
        <w:t>r</w:t>
      </w:r>
      <w:r w:rsidRPr="000F6F00">
        <w:t xml:space="preserve">gender Netze“ sensibilisieren könnten.  </w:t>
      </w:r>
    </w:p>
    <w:p w:rsidR="00FD1755" w:rsidRDefault="00FD1755">
      <w:pPr>
        <w:spacing w:after="0" w:line="240" w:lineRule="auto"/>
        <w:rPr>
          <w:rFonts w:eastAsia="Calibri" w:cstheme="majorBidi"/>
          <w:b/>
          <w:bCs/>
          <w:sz w:val="28"/>
          <w:szCs w:val="26"/>
          <w:lang w:val="de-CH"/>
        </w:rPr>
      </w:pPr>
      <w:r>
        <w:rPr>
          <w:rFonts w:eastAsia="Calibri"/>
          <w:lang w:val="de-CH"/>
        </w:rPr>
        <w:br w:type="page"/>
      </w:r>
    </w:p>
    <w:p w:rsidR="00835557" w:rsidRPr="00AD3D65" w:rsidRDefault="00835557" w:rsidP="00FB6C18">
      <w:pPr>
        <w:pStyle w:val="berschrift2"/>
        <w:numPr>
          <w:ilvl w:val="0"/>
          <w:numId w:val="46"/>
        </w:numPr>
        <w:rPr>
          <w:rFonts w:eastAsia="Calibri"/>
        </w:rPr>
      </w:pPr>
      <w:bookmarkStart w:id="31" w:name="_Toc13216681"/>
      <w:r w:rsidRPr="00AD3D65">
        <w:lastRenderedPageBreak/>
        <w:t>Literaturverzeichnis</w:t>
      </w:r>
      <w:bookmarkEnd w:id="31"/>
    </w:p>
    <w:p w:rsidR="00835557" w:rsidRPr="00835557" w:rsidRDefault="00835557" w:rsidP="00835557">
      <w:r w:rsidRPr="00835557">
        <w:t xml:space="preserve">Barmer, 2018. </w:t>
      </w:r>
      <w:r w:rsidRPr="00835557">
        <w:rPr>
          <w:b/>
        </w:rPr>
        <w:t>Arztreport 2018</w:t>
      </w:r>
      <w:r w:rsidRPr="00835557">
        <w:t>. https://www.barmer.de/presse/infothek/studien-und-reports/arztreporte/barmer-arztreport-2018-144304 [Abgerufen am 15.04.19 um 08.32 Uhr]</w:t>
      </w:r>
    </w:p>
    <w:p w:rsidR="00835557" w:rsidRPr="00835557" w:rsidRDefault="00835557" w:rsidP="00835557">
      <w:r w:rsidRPr="00835557">
        <w:t xml:space="preserve">Behncke, B., 2019. </w:t>
      </w:r>
      <w:r w:rsidRPr="00835557">
        <w:rPr>
          <w:b/>
        </w:rPr>
        <w:t>Frühkindlicher Stress in der Fremdbetreuung - und seine lan</w:t>
      </w:r>
      <w:r w:rsidRPr="00835557">
        <w:rPr>
          <w:b/>
        </w:rPr>
        <w:t>g</w:t>
      </w:r>
      <w:r w:rsidRPr="00835557">
        <w:rPr>
          <w:b/>
        </w:rPr>
        <w:t>fristigen Folgen</w:t>
      </w:r>
      <w:r w:rsidRPr="00835557">
        <w:t>. https://www.fuerkinder.org/kinder-brauchen-bindung/experten-meinen/404-fruehkindlicher-stress-in-der-fremdbetreuung-und-seine-langfristigen-folgen [Abgerufen am 10.04.19 um 14.25 Uhr]</w:t>
      </w:r>
    </w:p>
    <w:p w:rsidR="00835557" w:rsidRPr="00835557" w:rsidRDefault="00835557" w:rsidP="00835557">
      <w:r w:rsidRPr="00835557">
        <w:t xml:space="preserve">BMFSFJ, 2017. </w:t>
      </w:r>
      <w:r w:rsidRPr="00835557">
        <w:rPr>
          <w:b/>
        </w:rPr>
        <w:t>Familienreport 2017.</w:t>
      </w:r>
      <w:r w:rsidRPr="00835557">
        <w:t xml:space="preserve"> </w:t>
      </w:r>
      <w:r w:rsidRPr="00835557">
        <w:rPr>
          <w:b/>
        </w:rPr>
        <w:t>Leistungen, Wirkungen, Trends.</w:t>
      </w:r>
      <w:r w:rsidRPr="00835557">
        <w:t xml:space="preserve"> https://www.bmfsfj.de/blob/119524/f51728a14e3c91c3d8ea657bb01bbab0/familienreport-2017-data.pdf [Abgerufen am 16.04.19 um 15.05 Uhr]</w:t>
      </w:r>
    </w:p>
    <w:p w:rsidR="00835557" w:rsidRPr="00835557" w:rsidRDefault="00835557" w:rsidP="00835557">
      <w:r w:rsidRPr="00835557">
        <w:t xml:space="preserve">BMFSFJ, 2019. </w:t>
      </w:r>
      <w:r w:rsidRPr="00835557">
        <w:rPr>
          <w:b/>
        </w:rPr>
        <w:t>Kita-Ausbau: Gesetze und Investitionsprogramme</w:t>
      </w:r>
      <w:r w:rsidRPr="00835557">
        <w:t>. https://www.bmfsfj.de/bmfsfj/themen/familie/kinderbetreuung/kita-ausbau/kita-ausbau--gesetze-und-investitionsprogramme/86394 [Abgerufen am 11.04.19 um 09.32 Uhr]</w:t>
      </w:r>
    </w:p>
    <w:p w:rsidR="00835557" w:rsidRPr="00835557" w:rsidRDefault="00835557" w:rsidP="00835557">
      <w:r w:rsidRPr="00835557">
        <w:t xml:space="preserve">BPB, 2009. </w:t>
      </w:r>
      <w:r w:rsidRPr="00835557">
        <w:rPr>
          <w:b/>
        </w:rPr>
        <w:t>Familie: Konzeption und Realität</w:t>
      </w:r>
      <w:r w:rsidRPr="00835557">
        <w:t>. https://www.bpb.de/izpb/8017/familie-konzeption-und-realitaet [Abgerufen am 18.04.19 um 10.21 Uhr]</w:t>
      </w:r>
    </w:p>
    <w:p w:rsidR="00835557" w:rsidRPr="00835557" w:rsidRDefault="00835557" w:rsidP="00835557">
      <w:r w:rsidRPr="00835557">
        <w:t xml:space="preserve">BPB, 2016. </w:t>
      </w:r>
      <w:r w:rsidRPr="00835557">
        <w:rPr>
          <w:b/>
        </w:rPr>
        <w:t>Generationenvertrag</w:t>
      </w:r>
      <w:r w:rsidRPr="00835557">
        <w:t>. http://www.bpb.de/nachschlagen/lexika/lexikon-der-wirtschaft/19473/generationenvertrag [Abgerufen am 17.04.19 um 14.29 Uhr]</w:t>
      </w:r>
    </w:p>
    <w:p w:rsidR="00835557" w:rsidRPr="00835557" w:rsidRDefault="00835557" w:rsidP="00835557">
      <w:r w:rsidRPr="00835557">
        <w:t xml:space="preserve">Eugster, D., 2019. </w:t>
      </w:r>
      <w:r w:rsidRPr="00835557">
        <w:rPr>
          <w:b/>
        </w:rPr>
        <w:t>Demografischer Wandel: Erstmals vier Generationen in Kontakt miteinander</w:t>
      </w:r>
      <w:r w:rsidRPr="00835557">
        <w:t>. https://www.intergeneration.ch/de/blog/demografischer-wandel-erstmals-vier-generationen-kontakt-miteinander [Abgerufen am 12.04.19 um 09.13 Uhr]</w:t>
      </w:r>
    </w:p>
    <w:p w:rsidR="00835557" w:rsidRPr="00835557" w:rsidRDefault="00835557" w:rsidP="00835557">
      <w:proofErr w:type="spellStart"/>
      <w:r w:rsidRPr="00835557">
        <w:lastRenderedPageBreak/>
        <w:t>Hohendanner</w:t>
      </w:r>
      <w:proofErr w:type="spellEnd"/>
      <w:r w:rsidRPr="00835557">
        <w:t xml:space="preserve">, C., 2018. </w:t>
      </w:r>
      <w:r w:rsidRPr="00835557">
        <w:rPr>
          <w:b/>
        </w:rPr>
        <w:t>Zur Einschränkung befristeter Arbeitsverträge im Koalit</w:t>
      </w:r>
      <w:r w:rsidRPr="00835557">
        <w:rPr>
          <w:b/>
        </w:rPr>
        <w:t>i</w:t>
      </w:r>
      <w:r w:rsidRPr="00835557">
        <w:rPr>
          <w:b/>
        </w:rPr>
        <w:t>onsvertrag</w:t>
      </w:r>
      <w:r w:rsidRPr="00835557">
        <w:t>. https://www.iab-forum.de/zur-einschraenkung-befristeter-arbeitsvertraege-im-koalitionsvertrag/ [Abgerufen am 17.04.19 um 14.12 Uhr]</w:t>
      </w:r>
    </w:p>
    <w:p w:rsidR="00835557" w:rsidRPr="00835557" w:rsidRDefault="00835557" w:rsidP="00835557">
      <w:proofErr w:type="spellStart"/>
      <w:r w:rsidRPr="00835557">
        <w:t>Huinink</w:t>
      </w:r>
      <w:proofErr w:type="spellEnd"/>
      <w:r w:rsidRPr="00835557">
        <w:t xml:space="preserve">, J., 2009. </w:t>
      </w:r>
      <w:r w:rsidRPr="00835557">
        <w:rPr>
          <w:b/>
        </w:rPr>
        <w:t>Wandel der Familienentwicklung: Ursachen und Folgen</w:t>
      </w:r>
      <w:r w:rsidRPr="00835557">
        <w:t>.  http://www.bpb.de/izpb/8036/wandel-der-familienentwicklung-ursachen-und-folgen?p=all [Abgerufen am 08.04.19 um 14.55 Uhr]</w:t>
      </w:r>
    </w:p>
    <w:p w:rsidR="00835557" w:rsidRPr="00835557" w:rsidRDefault="00835557" w:rsidP="00835557">
      <w:r w:rsidRPr="00835557">
        <w:t xml:space="preserve">Kittlaus, B., 2019. </w:t>
      </w:r>
      <w:r w:rsidRPr="00835557">
        <w:rPr>
          <w:b/>
        </w:rPr>
        <w:t>Multilokale Mehrgenerationen-Familie</w:t>
      </w:r>
      <w:r w:rsidRPr="00835557">
        <w:t>. http://www.single-generation.de/glossar/multilokale_mehrgenerationen_familie.htm [Abgerufen am 12.04.19 um 10.02 Uhr]</w:t>
      </w:r>
    </w:p>
    <w:p w:rsidR="00835557" w:rsidRPr="00835557" w:rsidRDefault="00835557" w:rsidP="00835557">
      <w:r w:rsidRPr="00835557">
        <w:t xml:space="preserve">Köcher, R., 2015. </w:t>
      </w:r>
      <w:r w:rsidRPr="00835557">
        <w:rPr>
          <w:b/>
        </w:rPr>
        <w:t>Frauen der Sandwich-Generation: Zwischen Kinderbetreuung und Unterstützung der Eltern - Ergebnisse einer repräsentativen Befragung</w:t>
      </w:r>
      <w:r w:rsidRPr="00835557">
        <w:t>. https://www.ifd-allensbach.de/fileadmin/IfD/sonstige_pdfs/BdF_Studie_Sandwich.pdf [Abgerufen am 16.04.19 um 11.07 Uhr]</w:t>
      </w:r>
    </w:p>
    <w:p w:rsidR="00835557" w:rsidRPr="00835557" w:rsidRDefault="00835557" w:rsidP="00835557">
      <w:r w:rsidRPr="00835557">
        <w:t xml:space="preserve">Konrath, S., 2010. </w:t>
      </w:r>
      <w:r w:rsidRPr="00835557">
        <w:rPr>
          <w:b/>
        </w:rPr>
        <w:t>Empathie-Fähigkeit bei Studenten nimmt rasant ab</w:t>
      </w:r>
      <w:r w:rsidRPr="00835557">
        <w:t>. https://www.zeit.de/studium/hochschule/2010-05/studie-einfuehlungsvermoegen [Abgerufen am 08.04.19 um 15.17 Uhr]</w:t>
      </w:r>
    </w:p>
    <w:p w:rsidR="00835557" w:rsidRPr="00835557" w:rsidRDefault="00835557" w:rsidP="00835557">
      <w:r w:rsidRPr="00835557">
        <w:t xml:space="preserve">Kösters, W., 2011. </w:t>
      </w:r>
      <w:r w:rsidRPr="00835557">
        <w:rPr>
          <w:b/>
        </w:rPr>
        <w:t>Weniger, bunter, älter: Den demografischen Wandel aktiv g</w:t>
      </w:r>
      <w:r w:rsidRPr="00835557">
        <w:rPr>
          <w:b/>
        </w:rPr>
        <w:t>e</w:t>
      </w:r>
      <w:r w:rsidRPr="00835557">
        <w:rPr>
          <w:b/>
        </w:rPr>
        <w:t>stalten</w:t>
      </w:r>
      <w:r w:rsidRPr="00835557">
        <w:t>. https://books.google.de [Abgerufen am 25.02.19 um 07.35 Uhr]</w:t>
      </w:r>
    </w:p>
    <w:p w:rsidR="00835557" w:rsidRPr="00835557" w:rsidRDefault="00835557" w:rsidP="00835557">
      <w:r w:rsidRPr="00835557">
        <w:t xml:space="preserve">Reese, N., 2016. </w:t>
      </w:r>
      <w:r w:rsidRPr="00835557">
        <w:rPr>
          <w:b/>
        </w:rPr>
        <w:t>Doppelbelastung Familie und Beruf: Immer mehr Frauen sind ausgebrannt</w:t>
      </w:r>
      <w:r w:rsidRPr="00835557">
        <w:t>. https://www.heilpraxisnet.de/naturheilpraxis/doppelbelastung-familie-und-beruf-immer-mehr-frauen-sind-ausgebrannt-2016061669177 [Abgerufen am 18.04.19 um 07.45 Uhr]</w:t>
      </w:r>
    </w:p>
    <w:p w:rsidR="00835557" w:rsidRPr="00835557" w:rsidRDefault="00835557" w:rsidP="00835557">
      <w:r w:rsidRPr="00835557">
        <w:lastRenderedPageBreak/>
        <w:t xml:space="preserve">Reinhardt, U., 2016. </w:t>
      </w:r>
      <w:r w:rsidRPr="00835557">
        <w:rPr>
          <w:b/>
        </w:rPr>
        <w:t>Kein Geld, keine Freiheit, keine Karriere: Warum die Deu</w:t>
      </w:r>
      <w:r w:rsidRPr="00835557">
        <w:rPr>
          <w:b/>
        </w:rPr>
        <w:t>t</w:t>
      </w:r>
      <w:r w:rsidRPr="00835557">
        <w:rPr>
          <w:b/>
        </w:rPr>
        <w:t>schen keine Kinder bekommen</w:t>
      </w:r>
      <w:r w:rsidRPr="00835557">
        <w:t>. https://www.stiftungfuerzukunftsfragen.de/newsletter-direct-mail/forschung-aktuell-270-warum-die-deutschen-keine-kinder-bekommen/ [Abgerufen am 16.04.19 um 09.07 Uhr]</w:t>
      </w:r>
    </w:p>
    <w:p w:rsidR="00835557" w:rsidRPr="00835557" w:rsidRDefault="00835557" w:rsidP="00835557">
      <w:r w:rsidRPr="00835557">
        <w:t xml:space="preserve">Textor, 2015. </w:t>
      </w:r>
      <w:r w:rsidRPr="00835557">
        <w:rPr>
          <w:b/>
        </w:rPr>
        <w:t>Migration, Kita, Schule, Zukunftstrends und Konsequenzen</w:t>
      </w:r>
      <w:r w:rsidRPr="00835557">
        <w:t>. http://www.zukunftsorientierte-paedagogik.de/MKS.pdf [Abgerufen am 18.04.19 um 10.13 Uhr]</w:t>
      </w:r>
    </w:p>
    <w:p w:rsidR="00835557" w:rsidRPr="00835557" w:rsidRDefault="00835557" w:rsidP="00835557">
      <w:r w:rsidRPr="00835557">
        <w:t xml:space="preserve">Wahlverwandtschaften e.V., 2018. </w:t>
      </w:r>
      <w:r w:rsidRPr="00835557">
        <w:rPr>
          <w:b/>
        </w:rPr>
        <w:t>Willkommen</w:t>
      </w:r>
      <w:r w:rsidRPr="00835557">
        <w:t>. https://www.wahlverwandtschaften.org/ [Abgerufen am 17.04.19 um 13.48 Uhr]</w:t>
      </w:r>
    </w:p>
    <w:p w:rsidR="00835557" w:rsidRPr="00835557" w:rsidRDefault="00835557" w:rsidP="00835557">
      <w:r w:rsidRPr="00835557">
        <w:t xml:space="preserve">Zeit Online, 2018. </w:t>
      </w:r>
      <w:r w:rsidRPr="00835557">
        <w:rPr>
          <w:b/>
        </w:rPr>
        <w:t>Immer mehr Rentner in Deutschland arbeiten</w:t>
      </w:r>
      <w:r w:rsidRPr="00835557">
        <w:t>. https://www.zeit.de/gesellschaft/zeitgeschehen/2018-04/erwerbstaetigkeit-alter-rentner-bundesinstitut-bevoelkerungsforschung [Abgerufen am 10.04.19 um 08.50 Uhr]</w:t>
      </w:r>
    </w:p>
    <w:sectPr w:rsidR="00835557" w:rsidRPr="00835557" w:rsidSect="00F9391B">
      <w:headerReference w:type="default" r:id="rId14"/>
      <w:footerReference w:type="default" r:id="rId15"/>
      <w:headerReference w:type="first" r:id="rId16"/>
      <w:footerReference w:type="first" r:id="rId17"/>
      <w:pgSz w:w="11906" w:h="16838"/>
      <w:pgMar w:top="1985" w:right="124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E91" w:rsidRDefault="005A4E91" w:rsidP="0059662F">
      <w:r>
        <w:separator/>
      </w:r>
    </w:p>
  </w:endnote>
  <w:endnote w:type="continuationSeparator" w:id="0">
    <w:p w:rsidR="005A4E91" w:rsidRDefault="005A4E91" w:rsidP="0059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726905"/>
      <w:docPartObj>
        <w:docPartGallery w:val="Page Numbers (Bottom of Page)"/>
        <w:docPartUnique/>
      </w:docPartObj>
    </w:sdtPr>
    <w:sdtEndPr/>
    <w:sdtContent>
      <w:p w:rsidR="005A4E91" w:rsidRDefault="005A4E91">
        <w:pPr>
          <w:pStyle w:val="Fuzeile"/>
          <w:jc w:val="center"/>
        </w:pPr>
        <w:r>
          <w:fldChar w:fldCharType="begin"/>
        </w:r>
        <w:r>
          <w:instrText>PAGE   \* MERGEFORMAT</w:instrText>
        </w:r>
        <w:r>
          <w:fldChar w:fldCharType="separate"/>
        </w:r>
        <w:r w:rsidR="00D772EA">
          <w:rPr>
            <w:noProof/>
          </w:rPr>
          <w:t>26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91" w:rsidRDefault="005A4E91">
    <w:pPr>
      <w:pStyle w:val="Fuzeile"/>
      <w:jc w:val="center"/>
    </w:pPr>
  </w:p>
  <w:p w:rsidR="005A4E91" w:rsidRDefault="005A4E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E91" w:rsidRDefault="005A4E91" w:rsidP="0059662F">
      <w:r>
        <w:separator/>
      </w:r>
    </w:p>
  </w:footnote>
  <w:footnote w:type="continuationSeparator" w:id="0">
    <w:p w:rsidR="005A4E91" w:rsidRDefault="005A4E91" w:rsidP="00596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91" w:rsidRDefault="005A4E91" w:rsidP="005A4E91">
    <w:pPr>
      <w:pStyle w:val="Kopfzeile"/>
      <w:tabs>
        <w:tab w:val="clear" w:pos="4536"/>
        <w:tab w:val="clear" w:pos="9072"/>
        <w:tab w:val="left" w:pos="5670"/>
        <w:tab w:val="left" w:pos="5708"/>
      </w:tabs>
    </w:pPr>
    <w:r>
      <w:rPr>
        <w:noProof/>
        <w:lang w:eastAsia="de-DE"/>
      </w:rPr>
      <w:drawing>
        <wp:inline distT="0" distB="0" distL="0" distR="0" wp14:anchorId="348DF527" wp14:editId="4502B5DB">
          <wp:extent cx="1307465" cy="965835"/>
          <wp:effectExtent l="0" t="0" r="6985" b="5715"/>
          <wp:docPr id="2" name="Grafik 2"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465" cy="96583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91" w:rsidRDefault="005A4E91">
    <w:pPr>
      <w:pStyle w:val="Kopfzeile"/>
    </w:pPr>
    <w:r>
      <w:rPr>
        <w:noProof/>
        <w:lang w:eastAsia="de-DE"/>
      </w:rPr>
      <w:drawing>
        <wp:inline distT="0" distB="0" distL="0" distR="0" wp14:anchorId="1407607D" wp14:editId="7A0D4B49">
          <wp:extent cx="1307465" cy="965835"/>
          <wp:effectExtent l="0" t="0" r="6985" b="5715"/>
          <wp:docPr id="1" name="Grafik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7465" cy="9658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3355"/>
    <w:multiLevelType w:val="hybridMultilevel"/>
    <w:tmpl w:val="EA381F5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8F20F8"/>
    <w:multiLevelType w:val="hybridMultilevel"/>
    <w:tmpl w:val="FD0092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E67346"/>
    <w:multiLevelType w:val="hybridMultilevel"/>
    <w:tmpl w:val="7C8A1A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A743D05"/>
    <w:multiLevelType w:val="hybridMultilevel"/>
    <w:tmpl w:val="49F00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B7A78CC"/>
    <w:multiLevelType w:val="hybridMultilevel"/>
    <w:tmpl w:val="EFBCA5E4"/>
    <w:lvl w:ilvl="0" w:tplc="0407000F">
      <w:start w:val="1"/>
      <w:numFmt w:val="decimal"/>
      <w:lvlText w:val="%1."/>
      <w:lvlJc w:val="left"/>
      <w:pPr>
        <w:ind w:left="644" w:hanging="360"/>
      </w:pPr>
      <w:rPr>
        <w:rFonts w:hint="default"/>
        <w:color w:val="auto"/>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C8F7810"/>
    <w:multiLevelType w:val="hybridMultilevel"/>
    <w:tmpl w:val="BF16632A"/>
    <w:lvl w:ilvl="0" w:tplc="3DFA2F8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E9A6542"/>
    <w:multiLevelType w:val="multilevel"/>
    <w:tmpl w:val="C37AAA7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FDC0ADD"/>
    <w:multiLevelType w:val="hybridMultilevel"/>
    <w:tmpl w:val="FDBCD6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16934623"/>
    <w:multiLevelType w:val="hybridMultilevel"/>
    <w:tmpl w:val="038667A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A90426F"/>
    <w:multiLevelType w:val="multilevel"/>
    <w:tmpl w:val="B308B92E"/>
    <w:lvl w:ilvl="0">
      <w:start w:val="1"/>
      <w:numFmt w:val="decimal"/>
      <w:lvlText w:val="%1."/>
      <w:lvlJc w:val="left"/>
      <w:pPr>
        <w:ind w:left="360" w:hanging="360"/>
      </w:pPr>
      <w:rPr>
        <w:rFonts w:hint="default"/>
      </w:rPr>
    </w:lvl>
    <w:lvl w:ilvl="1">
      <w:start w:val="13"/>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1B900CD9"/>
    <w:multiLevelType w:val="hybridMultilevel"/>
    <w:tmpl w:val="03FE78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1C3D14E2"/>
    <w:multiLevelType w:val="hybridMultilevel"/>
    <w:tmpl w:val="948C2F4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D9817CF"/>
    <w:multiLevelType w:val="hybridMultilevel"/>
    <w:tmpl w:val="3ADA22DE"/>
    <w:lvl w:ilvl="0" w:tplc="3DFA2F8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F441E55"/>
    <w:multiLevelType w:val="hybridMultilevel"/>
    <w:tmpl w:val="9CC8428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22C81921"/>
    <w:multiLevelType w:val="hybridMultilevel"/>
    <w:tmpl w:val="D3C26D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2D50019"/>
    <w:multiLevelType w:val="hybridMultilevel"/>
    <w:tmpl w:val="32C640E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nsid w:val="245166E2"/>
    <w:multiLevelType w:val="hybridMultilevel"/>
    <w:tmpl w:val="D15C51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56E34BD"/>
    <w:multiLevelType w:val="hybridMultilevel"/>
    <w:tmpl w:val="21D2C2D6"/>
    <w:lvl w:ilvl="0" w:tplc="3DFA2F8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7F174AE"/>
    <w:multiLevelType w:val="hybridMultilevel"/>
    <w:tmpl w:val="2564E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9D211C5"/>
    <w:multiLevelType w:val="hybridMultilevel"/>
    <w:tmpl w:val="694AC88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0">
    <w:nsid w:val="2B69216F"/>
    <w:multiLevelType w:val="hybridMultilevel"/>
    <w:tmpl w:val="16CE48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D392D67"/>
    <w:multiLevelType w:val="hybridMultilevel"/>
    <w:tmpl w:val="FA3C9D5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nsid w:val="2E4D756A"/>
    <w:multiLevelType w:val="hybridMultilevel"/>
    <w:tmpl w:val="E2A20AA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nsid w:val="32786B28"/>
    <w:multiLevelType w:val="hybridMultilevel"/>
    <w:tmpl w:val="51FE042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nsid w:val="33EC2D1C"/>
    <w:multiLevelType w:val="hybridMultilevel"/>
    <w:tmpl w:val="9A66B0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394C5524"/>
    <w:multiLevelType w:val="hybridMultilevel"/>
    <w:tmpl w:val="0D9EEC0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3CC80875"/>
    <w:multiLevelType w:val="hybridMultilevel"/>
    <w:tmpl w:val="22267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42337206"/>
    <w:multiLevelType w:val="hybridMultilevel"/>
    <w:tmpl w:val="1F80D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42F97D5C"/>
    <w:multiLevelType w:val="hybridMultilevel"/>
    <w:tmpl w:val="31C836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nsid w:val="46863A0F"/>
    <w:multiLevelType w:val="hybridMultilevel"/>
    <w:tmpl w:val="0C2A054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nsid w:val="4B2633A5"/>
    <w:multiLevelType w:val="hybridMultilevel"/>
    <w:tmpl w:val="7102E6B8"/>
    <w:lvl w:ilvl="0" w:tplc="04070017">
      <w:start w:val="1"/>
      <w:numFmt w:val="lowerLetter"/>
      <w:lvlText w:val="%1)"/>
      <w:lvlJc w:val="left"/>
      <w:pPr>
        <w:ind w:left="360" w:hanging="360"/>
      </w:pPr>
      <w:rPr>
        <w:rFonts w:hint="default"/>
      </w:rPr>
    </w:lvl>
    <w:lvl w:ilvl="1" w:tplc="628E60A0">
      <w:numFmt w:val="bullet"/>
      <w:lvlText w:val="-"/>
      <w:lvlJc w:val="left"/>
      <w:pPr>
        <w:ind w:left="1080" w:hanging="360"/>
      </w:pPr>
      <w:rPr>
        <w:rFonts w:ascii="Trebuchet MS" w:eastAsia="Times New Roman" w:hAnsi="Trebuchet MS" w:cs="Times New Roman"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nsid w:val="4CDC50FC"/>
    <w:multiLevelType w:val="hybridMultilevel"/>
    <w:tmpl w:val="111A5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4DB55D64"/>
    <w:multiLevelType w:val="hybridMultilevel"/>
    <w:tmpl w:val="B22CE61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nsid w:val="50EF15CB"/>
    <w:multiLevelType w:val="hybridMultilevel"/>
    <w:tmpl w:val="A59AA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5F30D75"/>
    <w:multiLevelType w:val="hybridMultilevel"/>
    <w:tmpl w:val="0CE627D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56B2409C"/>
    <w:multiLevelType w:val="hybridMultilevel"/>
    <w:tmpl w:val="FEFA821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D735FA9"/>
    <w:multiLevelType w:val="hybridMultilevel"/>
    <w:tmpl w:val="B65090F6"/>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nsid w:val="61204589"/>
    <w:multiLevelType w:val="hybridMultilevel"/>
    <w:tmpl w:val="B7D86FF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8">
    <w:nsid w:val="652745B4"/>
    <w:multiLevelType w:val="hybridMultilevel"/>
    <w:tmpl w:val="BE4E2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73B110A"/>
    <w:multiLevelType w:val="hybridMultilevel"/>
    <w:tmpl w:val="B0263B44"/>
    <w:lvl w:ilvl="0" w:tplc="EBFE0798">
      <w:start w:val="1"/>
      <w:numFmt w:val="upperRoman"/>
      <w:lvlText w:val="%1."/>
      <w:lvlJc w:val="left"/>
      <w:pPr>
        <w:ind w:left="1380" w:hanging="720"/>
      </w:pPr>
      <w:rPr>
        <w:rFonts w:ascii="Trebuchet MS" w:eastAsiaTheme="minorHAnsi" w:hAnsi="Trebuchet MS" w:hint="default"/>
        <w:color w:val="auto"/>
        <w:sz w:val="24"/>
        <w:u w:val="none"/>
      </w:rPr>
    </w:lvl>
    <w:lvl w:ilvl="1" w:tplc="04070019" w:tentative="1">
      <w:start w:val="1"/>
      <w:numFmt w:val="lowerLetter"/>
      <w:lvlText w:val="%2."/>
      <w:lvlJc w:val="left"/>
      <w:pPr>
        <w:ind w:left="1740" w:hanging="360"/>
      </w:pPr>
    </w:lvl>
    <w:lvl w:ilvl="2" w:tplc="0407001B" w:tentative="1">
      <w:start w:val="1"/>
      <w:numFmt w:val="lowerRoman"/>
      <w:lvlText w:val="%3."/>
      <w:lvlJc w:val="right"/>
      <w:pPr>
        <w:ind w:left="2460" w:hanging="180"/>
      </w:pPr>
    </w:lvl>
    <w:lvl w:ilvl="3" w:tplc="0407000F" w:tentative="1">
      <w:start w:val="1"/>
      <w:numFmt w:val="decimal"/>
      <w:lvlText w:val="%4."/>
      <w:lvlJc w:val="left"/>
      <w:pPr>
        <w:ind w:left="3180" w:hanging="360"/>
      </w:pPr>
    </w:lvl>
    <w:lvl w:ilvl="4" w:tplc="04070019" w:tentative="1">
      <w:start w:val="1"/>
      <w:numFmt w:val="lowerLetter"/>
      <w:lvlText w:val="%5."/>
      <w:lvlJc w:val="left"/>
      <w:pPr>
        <w:ind w:left="3900" w:hanging="360"/>
      </w:pPr>
    </w:lvl>
    <w:lvl w:ilvl="5" w:tplc="0407001B" w:tentative="1">
      <w:start w:val="1"/>
      <w:numFmt w:val="lowerRoman"/>
      <w:lvlText w:val="%6."/>
      <w:lvlJc w:val="right"/>
      <w:pPr>
        <w:ind w:left="4620" w:hanging="180"/>
      </w:pPr>
    </w:lvl>
    <w:lvl w:ilvl="6" w:tplc="0407000F" w:tentative="1">
      <w:start w:val="1"/>
      <w:numFmt w:val="decimal"/>
      <w:lvlText w:val="%7."/>
      <w:lvlJc w:val="left"/>
      <w:pPr>
        <w:ind w:left="5340" w:hanging="360"/>
      </w:pPr>
    </w:lvl>
    <w:lvl w:ilvl="7" w:tplc="04070019" w:tentative="1">
      <w:start w:val="1"/>
      <w:numFmt w:val="lowerLetter"/>
      <w:lvlText w:val="%8."/>
      <w:lvlJc w:val="left"/>
      <w:pPr>
        <w:ind w:left="6060" w:hanging="360"/>
      </w:pPr>
    </w:lvl>
    <w:lvl w:ilvl="8" w:tplc="0407001B" w:tentative="1">
      <w:start w:val="1"/>
      <w:numFmt w:val="lowerRoman"/>
      <w:lvlText w:val="%9."/>
      <w:lvlJc w:val="right"/>
      <w:pPr>
        <w:ind w:left="6780" w:hanging="180"/>
      </w:pPr>
    </w:lvl>
  </w:abstractNum>
  <w:abstractNum w:abstractNumId="40">
    <w:nsid w:val="67EB6B07"/>
    <w:multiLevelType w:val="hybridMultilevel"/>
    <w:tmpl w:val="89840B9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1">
    <w:nsid w:val="6F39296A"/>
    <w:multiLevelType w:val="hybridMultilevel"/>
    <w:tmpl w:val="6798C5C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nsid w:val="715F0E6D"/>
    <w:multiLevelType w:val="hybridMultilevel"/>
    <w:tmpl w:val="024ED92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77A5066"/>
    <w:multiLevelType w:val="hybridMultilevel"/>
    <w:tmpl w:val="7ECCB81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nsid w:val="779D0192"/>
    <w:multiLevelType w:val="hybridMultilevel"/>
    <w:tmpl w:val="37E233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7CE81FD8"/>
    <w:multiLevelType w:val="hybridMultilevel"/>
    <w:tmpl w:val="D41E2CC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2"/>
  </w:num>
  <w:num w:numId="2">
    <w:abstractNumId w:val="44"/>
  </w:num>
  <w:num w:numId="3">
    <w:abstractNumId w:val="22"/>
  </w:num>
  <w:num w:numId="4">
    <w:abstractNumId w:val="19"/>
  </w:num>
  <w:num w:numId="5">
    <w:abstractNumId w:val="38"/>
  </w:num>
  <w:num w:numId="6">
    <w:abstractNumId w:val="39"/>
  </w:num>
  <w:num w:numId="7">
    <w:abstractNumId w:val="6"/>
  </w:num>
  <w:num w:numId="8">
    <w:abstractNumId w:val="4"/>
  </w:num>
  <w:num w:numId="9">
    <w:abstractNumId w:val="1"/>
  </w:num>
  <w:num w:numId="10">
    <w:abstractNumId w:val="2"/>
  </w:num>
  <w:num w:numId="11">
    <w:abstractNumId w:val="14"/>
  </w:num>
  <w:num w:numId="12">
    <w:abstractNumId w:val="20"/>
  </w:num>
  <w:num w:numId="13">
    <w:abstractNumId w:val="31"/>
  </w:num>
  <w:num w:numId="14">
    <w:abstractNumId w:val="40"/>
  </w:num>
  <w:num w:numId="15">
    <w:abstractNumId w:val="18"/>
  </w:num>
  <w:num w:numId="16">
    <w:abstractNumId w:val="9"/>
  </w:num>
  <w:num w:numId="17">
    <w:abstractNumId w:val="41"/>
  </w:num>
  <w:num w:numId="18">
    <w:abstractNumId w:val="36"/>
  </w:num>
  <w:num w:numId="19">
    <w:abstractNumId w:val="45"/>
  </w:num>
  <w:num w:numId="20">
    <w:abstractNumId w:val="29"/>
  </w:num>
  <w:num w:numId="21">
    <w:abstractNumId w:val="32"/>
  </w:num>
  <w:num w:numId="22">
    <w:abstractNumId w:val="28"/>
  </w:num>
  <w:num w:numId="23">
    <w:abstractNumId w:val="35"/>
  </w:num>
  <w:num w:numId="24">
    <w:abstractNumId w:val="15"/>
  </w:num>
  <w:num w:numId="25">
    <w:abstractNumId w:val="42"/>
  </w:num>
  <w:num w:numId="26">
    <w:abstractNumId w:val="7"/>
  </w:num>
  <w:num w:numId="27">
    <w:abstractNumId w:val="21"/>
  </w:num>
  <w:num w:numId="28">
    <w:abstractNumId w:val="37"/>
  </w:num>
  <w:num w:numId="29">
    <w:abstractNumId w:val="25"/>
  </w:num>
  <w:num w:numId="30">
    <w:abstractNumId w:val="23"/>
  </w:num>
  <w:num w:numId="31">
    <w:abstractNumId w:val="10"/>
  </w:num>
  <w:num w:numId="32">
    <w:abstractNumId w:val="13"/>
  </w:num>
  <w:num w:numId="33">
    <w:abstractNumId w:val="16"/>
  </w:num>
  <w:num w:numId="34">
    <w:abstractNumId w:val="43"/>
  </w:num>
  <w:num w:numId="35">
    <w:abstractNumId w:val="8"/>
  </w:num>
  <w:num w:numId="36">
    <w:abstractNumId w:val="34"/>
  </w:num>
  <w:num w:numId="37">
    <w:abstractNumId w:val="27"/>
  </w:num>
  <w:num w:numId="38">
    <w:abstractNumId w:val="26"/>
  </w:num>
  <w:num w:numId="39">
    <w:abstractNumId w:val="30"/>
  </w:num>
  <w:num w:numId="40">
    <w:abstractNumId w:val="24"/>
  </w:num>
  <w:num w:numId="41">
    <w:abstractNumId w:val="5"/>
  </w:num>
  <w:num w:numId="42">
    <w:abstractNumId w:val="11"/>
  </w:num>
  <w:num w:numId="43">
    <w:abstractNumId w:val="3"/>
  </w:num>
  <w:num w:numId="44">
    <w:abstractNumId w:val="33"/>
  </w:num>
  <w:num w:numId="45">
    <w:abstractNumId w:val="0"/>
  </w:num>
  <w:num w:numId="4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8F2"/>
    <w:rsid w:val="0000002F"/>
    <w:rsid w:val="00002284"/>
    <w:rsid w:val="000029C9"/>
    <w:rsid w:val="00021000"/>
    <w:rsid w:val="000255FC"/>
    <w:rsid w:val="000257C4"/>
    <w:rsid w:val="00027087"/>
    <w:rsid w:val="00075566"/>
    <w:rsid w:val="000777AF"/>
    <w:rsid w:val="000A1421"/>
    <w:rsid w:val="000B0A7F"/>
    <w:rsid w:val="000E1265"/>
    <w:rsid w:val="000E63AE"/>
    <w:rsid w:val="0012254A"/>
    <w:rsid w:val="0013029D"/>
    <w:rsid w:val="00135CB9"/>
    <w:rsid w:val="001702E6"/>
    <w:rsid w:val="001736D9"/>
    <w:rsid w:val="00193489"/>
    <w:rsid w:val="0019415D"/>
    <w:rsid w:val="001A428F"/>
    <w:rsid w:val="001A6FC1"/>
    <w:rsid w:val="001B66BC"/>
    <w:rsid w:val="001D709D"/>
    <w:rsid w:val="001F02F8"/>
    <w:rsid w:val="00200626"/>
    <w:rsid w:val="002039BB"/>
    <w:rsid w:val="002056DE"/>
    <w:rsid w:val="00214DD2"/>
    <w:rsid w:val="0023529B"/>
    <w:rsid w:val="00236E2E"/>
    <w:rsid w:val="002630CE"/>
    <w:rsid w:val="0027445A"/>
    <w:rsid w:val="00276C95"/>
    <w:rsid w:val="0029699F"/>
    <w:rsid w:val="002A4FF3"/>
    <w:rsid w:val="002A54FE"/>
    <w:rsid w:val="002B0BD3"/>
    <w:rsid w:val="002B23F0"/>
    <w:rsid w:val="002C706C"/>
    <w:rsid w:val="002D7300"/>
    <w:rsid w:val="002D7B9E"/>
    <w:rsid w:val="002F7692"/>
    <w:rsid w:val="0030213D"/>
    <w:rsid w:val="00302655"/>
    <w:rsid w:val="00317848"/>
    <w:rsid w:val="00321E76"/>
    <w:rsid w:val="00326331"/>
    <w:rsid w:val="00326DC1"/>
    <w:rsid w:val="0033098A"/>
    <w:rsid w:val="00344875"/>
    <w:rsid w:val="0035691D"/>
    <w:rsid w:val="003D0203"/>
    <w:rsid w:val="003E043B"/>
    <w:rsid w:val="003F3F03"/>
    <w:rsid w:val="003F6B17"/>
    <w:rsid w:val="00400344"/>
    <w:rsid w:val="00404E29"/>
    <w:rsid w:val="004059F2"/>
    <w:rsid w:val="00405DFA"/>
    <w:rsid w:val="00444BC8"/>
    <w:rsid w:val="00452B77"/>
    <w:rsid w:val="004723F0"/>
    <w:rsid w:val="00475867"/>
    <w:rsid w:val="004A0389"/>
    <w:rsid w:val="004A1E5D"/>
    <w:rsid w:val="004C5978"/>
    <w:rsid w:val="004F26D5"/>
    <w:rsid w:val="00506745"/>
    <w:rsid w:val="0056071D"/>
    <w:rsid w:val="005649AC"/>
    <w:rsid w:val="00573A6C"/>
    <w:rsid w:val="00580B12"/>
    <w:rsid w:val="0059662F"/>
    <w:rsid w:val="005A06F8"/>
    <w:rsid w:val="005A4E91"/>
    <w:rsid w:val="005B4840"/>
    <w:rsid w:val="005C375D"/>
    <w:rsid w:val="005F4C5D"/>
    <w:rsid w:val="006371A4"/>
    <w:rsid w:val="00672E7C"/>
    <w:rsid w:val="00677DF5"/>
    <w:rsid w:val="00681E76"/>
    <w:rsid w:val="006E730D"/>
    <w:rsid w:val="006F39C6"/>
    <w:rsid w:val="006F6882"/>
    <w:rsid w:val="007508F2"/>
    <w:rsid w:val="0076678D"/>
    <w:rsid w:val="00766B62"/>
    <w:rsid w:val="007A7071"/>
    <w:rsid w:val="0080080E"/>
    <w:rsid w:val="00811E5B"/>
    <w:rsid w:val="008228A9"/>
    <w:rsid w:val="00832A69"/>
    <w:rsid w:val="00835557"/>
    <w:rsid w:val="008A203B"/>
    <w:rsid w:val="008B625A"/>
    <w:rsid w:val="008B71C2"/>
    <w:rsid w:val="008C48B4"/>
    <w:rsid w:val="008D33ED"/>
    <w:rsid w:val="008D47D0"/>
    <w:rsid w:val="008E366F"/>
    <w:rsid w:val="0091393C"/>
    <w:rsid w:val="00933B8B"/>
    <w:rsid w:val="00947397"/>
    <w:rsid w:val="00961AA2"/>
    <w:rsid w:val="009712CB"/>
    <w:rsid w:val="00980E74"/>
    <w:rsid w:val="0098688A"/>
    <w:rsid w:val="00993A42"/>
    <w:rsid w:val="009A2FFB"/>
    <w:rsid w:val="009A744D"/>
    <w:rsid w:val="009B148B"/>
    <w:rsid w:val="009B5F57"/>
    <w:rsid w:val="009D469F"/>
    <w:rsid w:val="00A03528"/>
    <w:rsid w:val="00A0604F"/>
    <w:rsid w:val="00A17EC2"/>
    <w:rsid w:val="00A26E4F"/>
    <w:rsid w:val="00A313B5"/>
    <w:rsid w:val="00A35D61"/>
    <w:rsid w:val="00A52296"/>
    <w:rsid w:val="00A75E10"/>
    <w:rsid w:val="00AB4F33"/>
    <w:rsid w:val="00AD1063"/>
    <w:rsid w:val="00AD3D65"/>
    <w:rsid w:val="00AE2375"/>
    <w:rsid w:val="00B17EAB"/>
    <w:rsid w:val="00B774FD"/>
    <w:rsid w:val="00B8132A"/>
    <w:rsid w:val="00B84059"/>
    <w:rsid w:val="00B955A1"/>
    <w:rsid w:val="00BA0E2B"/>
    <w:rsid w:val="00BB7AC5"/>
    <w:rsid w:val="00BC7F77"/>
    <w:rsid w:val="00C0560F"/>
    <w:rsid w:val="00C1125B"/>
    <w:rsid w:val="00C32731"/>
    <w:rsid w:val="00C566A2"/>
    <w:rsid w:val="00C612CB"/>
    <w:rsid w:val="00C61AE6"/>
    <w:rsid w:val="00C76B5D"/>
    <w:rsid w:val="00C808D2"/>
    <w:rsid w:val="00C80B46"/>
    <w:rsid w:val="00CB1208"/>
    <w:rsid w:val="00CC3424"/>
    <w:rsid w:val="00CD6BEE"/>
    <w:rsid w:val="00CE7E88"/>
    <w:rsid w:val="00CF43E7"/>
    <w:rsid w:val="00D07B23"/>
    <w:rsid w:val="00D1610A"/>
    <w:rsid w:val="00D51464"/>
    <w:rsid w:val="00D60519"/>
    <w:rsid w:val="00D63D23"/>
    <w:rsid w:val="00D67DA6"/>
    <w:rsid w:val="00D772EA"/>
    <w:rsid w:val="00D7749C"/>
    <w:rsid w:val="00DA05EB"/>
    <w:rsid w:val="00DB0989"/>
    <w:rsid w:val="00DB2AA1"/>
    <w:rsid w:val="00DB5468"/>
    <w:rsid w:val="00DB6DE3"/>
    <w:rsid w:val="00DB7FB0"/>
    <w:rsid w:val="00DC12E0"/>
    <w:rsid w:val="00DC13DA"/>
    <w:rsid w:val="00DC768F"/>
    <w:rsid w:val="00DD4E16"/>
    <w:rsid w:val="00DD782A"/>
    <w:rsid w:val="00E175E2"/>
    <w:rsid w:val="00E25AE4"/>
    <w:rsid w:val="00E356D3"/>
    <w:rsid w:val="00E409DD"/>
    <w:rsid w:val="00E47AAD"/>
    <w:rsid w:val="00E5308F"/>
    <w:rsid w:val="00E90D08"/>
    <w:rsid w:val="00EB029E"/>
    <w:rsid w:val="00EB35B4"/>
    <w:rsid w:val="00EB46D5"/>
    <w:rsid w:val="00EB64A1"/>
    <w:rsid w:val="00EC0966"/>
    <w:rsid w:val="00EC7EEA"/>
    <w:rsid w:val="00EF14A0"/>
    <w:rsid w:val="00EF4245"/>
    <w:rsid w:val="00EF5386"/>
    <w:rsid w:val="00EF60EA"/>
    <w:rsid w:val="00F11DBE"/>
    <w:rsid w:val="00F13CDC"/>
    <w:rsid w:val="00F1603E"/>
    <w:rsid w:val="00F17072"/>
    <w:rsid w:val="00F235C8"/>
    <w:rsid w:val="00F34579"/>
    <w:rsid w:val="00F43FE2"/>
    <w:rsid w:val="00F4724E"/>
    <w:rsid w:val="00F9391B"/>
    <w:rsid w:val="00FA4614"/>
    <w:rsid w:val="00FB3987"/>
    <w:rsid w:val="00FB54C3"/>
    <w:rsid w:val="00FB6C18"/>
    <w:rsid w:val="00FD06EB"/>
    <w:rsid w:val="00FD1755"/>
    <w:rsid w:val="00FE1622"/>
    <w:rsid w:val="00FE4FD8"/>
    <w:rsid w:val="00FE6C67"/>
    <w:rsid w:val="00FF52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3CDC"/>
    <w:pPr>
      <w:spacing w:after="360" w:line="360" w:lineRule="auto"/>
    </w:pPr>
  </w:style>
  <w:style w:type="paragraph" w:styleId="berschrift1">
    <w:name w:val="heading 1"/>
    <w:basedOn w:val="Standard"/>
    <w:next w:val="Standard"/>
    <w:link w:val="berschrift1Zchn"/>
    <w:uiPriority w:val="9"/>
    <w:qFormat/>
    <w:rsid w:val="00573A6C"/>
    <w:pPr>
      <w:keepNext/>
      <w:keepLines/>
      <w:spacing w:before="480"/>
      <w:outlineLvl w:val="0"/>
    </w:pPr>
    <w:rPr>
      <w:rFonts w:eastAsiaTheme="majorEastAsia" w:cstheme="majorBidi"/>
      <w:b/>
      <w:bCs/>
      <w:sz w:val="44"/>
      <w:szCs w:val="28"/>
    </w:rPr>
  </w:style>
  <w:style w:type="paragraph" w:styleId="berschrift2">
    <w:name w:val="heading 2"/>
    <w:basedOn w:val="Standard"/>
    <w:next w:val="Standard"/>
    <w:link w:val="berschrift2Zchn"/>
    <w:uiPriority w:val="9"/>
    <w:unhideWhenUsed/>
    <w:qFormat/>
    <w:rsid w:val="00961AA2"/>
    <w:pPr>
      <w:keepNext/>
      <w:keepLines/>
      <w:spacing w:before="200" w:after="240" w:line="288" w:lineRule="auto"/>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5A4E91"/>
    <w:pPr>
      <w:keepNext/>
      <w:keepLines/>
      <w:spacing w:before="240" w:after="12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DB6DE3"/>
    <w:pPr>
      <w:keepNext/>
      <w:keepLines/>
      <w:spacing w:before="200"/>
      <w:outlineLvl w:val="3"/>
    </w:pPr>
    <w:rPr>
      <w:rFonts w:eastAsiaTheme="majorEastAsia" w:cstheme="majorBidi"/>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3A6C"/>
    <w:rPr>
      <w:rFonts w:eastAsiaTheme="majorEastAsia" w:cstheme="majorBidi"/>
      <w:b/>
      <w:bCs/>
      <w:sz w:val="44"/>
      <w:szCs w:val="28"/>
    </w:rPr>
  </w:style>
  <w:style w:type="character" w:customStyle="1" w:styleId="berschrift2Zchn">
    <w:name w:val="Überschrift 2 Zchn"/>
    <w:basedOn w:val="Absatz-Standardschriftart"/>
    <w:link w:val="berschrift2"/>
    <w:uiPriority w:val="9"/>
    <w:rsid w:val="00961AA2"/>
    <w:rPr>
      <w:rFonts w:eastAsiaTheme="majorEastAsia" w:cstheme="majorBidi"/>
      <w:b/>
      <w:bCs/>
      <w:sz w:val="28"/>
      <w:szCs w:val="26"/>
    </w:rPr>
  </w:style>
  <w:style w:type="character" w:customStyle="1" w:styleId="berschrift3Zchn">
    <w:name w:val="Überschrift 3 Zchn"/>
    <w:basedOn w:val="Absatz-Standardschriftart"/>
    <w:link w:val="berschrift3"/>
    <w:uiPriority w:val="9"/>
    <w:rsid w:val="005A4E91"/>
    <w:rPr>
      <w:rFonts w:eastAsiaTheme="majorEastAsia" w:cstheme="majorBidi"/>
      <w:b/>
      <w:bCs/>
    </w:rPr>
  </w:style>
  <w:style w:type="character" w:customStyle="1" w:styleId="berschrift4Zchn">
    <w:name w:val="Überschrift 4 Zchn"/>
    <w:basedOn w:val="Absatz-Standardschriftart"/>
    <w:link w:val="berschrift4"/>
    <w:uiPriority w:val="9"/>
    <w:rsid w:val="00DB6DE3"/>
    <w:rPr>
      <w:rFonts w:eastAsiaTheme="majorEastAsia" w:cstheme="majorBidi"/>
      <w:b/>
      <w:bCs/>
      <w:iCs/>
    </w:rPr>
  </w:style>
  <w:style w:type="paragraph" w:styleId="Kopfzeile">
    <w:name w:val="header"/>
    <w:basedOn w:val="Standard"/>
    <w:link w:val="KopfzeileZchn"/>
    <w:uiPriority w:val="99"/>
    <w:unhideWhenUsed/>
    <w:rsid w:val="0059662F"/>
    <w:pPr>
      <w:tabs>
        <w:tab w:val="center" w:pos="4536"/>
        <w:tab w:val="right" w:pos="9072"/>
      </w:tabs>
    </w:pPr>
  </w:style>
  <w:style w:type="character" w:customStyle="1" w:styleId="KopfzeileZchn">
    <w:name w:val="Kopfzeile Zchn"/>
    <w:basedOn w:val="Absatz-Standardschriftart"/>
    <w:link w:val="Kopfzeile"/>
    <w:uiPriority w:val="99"/>
    <w:rsid w:val="0059662F"/>
  </w:style>
  <w:style w:type="paragraph" w:styleId="Fuzeile">
    <w:name w:val="footer"/>
    <w:basedOn w:val="Standard"/>
    <w:link w:val="FuzeileZchn"/>
    <w:uiPriority w:val="99"/>
    <w:unhideWhenUsed/>
    <w:rsid w:val="0059662F"/>
    <w:pPr>
      <w:tabs>
        <w:tab w:val="center" w:pos="4536"/>
        <w:tab w:val="right" w:pos="9072"/>
      </w:tabs>
    </w:pPr>
  </w:style>
  <w:style w:type="character" w:customStyle="1" w:styleId="FuzeileZchn">
    <w:name w:val="Fußzeile Zchn"/>
    <w:basedOn w:val="Absatz-Standardschriftart"/>
    <w:link w:val="Fuzeile"/>
    <w:uiPriority w:val="99"/>
    <w:rsid w:val="0059662F"/>
  </w:style>
  <w:style w:type="paragraph" w:styleId="Sprechblasentext">
    <w:name w:val="Balloon Text"/>
    <w:basedOn w:val="Standard"/>
    <w:link w:val="SprechblasentextZchn"/>
    <w:uiPriority w:val="99"/>
    <w:semiHidden/>
    <w:unhideWhenUsed/>
    <w:rsid w:val="005966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662F"/>
    <w:rPr>
      <w:rFonts w:ascii="Tahoma" w:hAnsi="Tahoma" w:cs="Tahoma"/>
      <w:sz w:val="16"/>
      <w:szCs w:val="16"/>
    </w:rPr>
  </w:style>
  <w:style w:type="table" w:styleId="Tabellenraster">
    <w:name w:val="Table Grid"/>
    <w:basedOn w:val="NormaleTabelle"/>
    <w:uiPriority w:val="59"/>
    <w:rsid w:val="00F34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8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C12E0"/>
    <w:pPr>
      <w:ind w:left="720"/>
      <w:contextualSpacing/>
    </w:pPr>
  </w:style>
  <w:style w:type="character" w:customStyle="1" w:styleId="section">
    <w:name w:val="section"/>
    <w:basedOn w:val="Absatz-Standardschriftart"/>
    <w:rsid w:val="00766B62"/>
  </w:style>
  <w:style w:type="character" w:styleId="Fett">
    <w:name w:val="Strong"/>
    <w:basedOn w:val="Absatz-Standardschriftart"/>
    <w:uiPriority w:val="22"/>
    <w:qFormat/>
    <w:rsid w:val="00766B62"/>
    <w:rPr>
      <w:b/>
      <w:bCs/>
    </w:rPr>
  </w:style>
  <w:style w:type="paragraph" w:styleId="KeinLeerraum">
    <w:name w:val="No Spacing"/>
    <w:uiPriority w:val="1"/>
    <w:qFormat/>
    <w:rsid w:val="00961AA2"/>
  </w:style>
  <w:style w:type="paragraph" w:styleId="Inhaltsverzeichnisberschrift">
    <w:name w:val="TOC Heading"/>
    <w:basedOn w:val="berschrift1"/>
    <w:next w:val="Standard"/>
    <w:uiPriority w:val="39"/>
    <w:unhideWhenUsed/>
    <w:qFormat/>
    <w:rsid w:val="00317848"/>
    <w:pPr>
      <w:outlineLvl w:val="9"/>
    </w:pPr>
    <w:rPr>
      <w:lang w:eastAsia="de-DE"/>
    </w:rPr>
  </w:style>
  <w:style w:type="paragraph" w:styleId="Verzeichnis2">
    <w:name w:val="toc 2"/>
    <w:basedOn w:val="Standard"/>
    <w:next w:val="Standard"/>
    <w:autoRedefine/>
    <w:uiPriority w:val="39"/>
    <w:unhideWhenUsed/>
    <w:qFormat/>
    <w:rsid w:val="00E5308F"/>
    <w:pPr>
      <w:tabs>
        <w:tab w:val="left" w:pos="426"/>
        <w:tab w:val="left" w:pos="993"/>
        <w:tab w:val="left" w:pos="1418"/>
        <w:tab w:val="left" w:pos="1701"/>
        <w:tab w:val="right" w:leader="dot" w:pos="9231"/>
      </w:tabs>
      <w:spacing w:after="100"/>
      <w:ind w:left="426" w:hanging="426"/>
    </w:pPr>
  </w:style>
  <w:style w:type="paragraph" w:styleId="Verzeichnis3">
    <w:name w:val="toc 3"/>
    <w:basedOn w:val="Standard"/>
    <w:next w:val="Standard"/>
    <w:autoRedefine/>
    <w:uiPriority w:val="39"/>
    <w:unhideWhenUsed/>
    <w:qFormat/>
    <w:rsid w:val="00317848"/>
    <w:pPr>
      <w:spacing w:after="100"/>
      <w:ind w:left="480"/>
    </w:pPr>
  </w:style>
  <w:style w:type="character" w:styleId="Hyperlink">
    <w:name w:val="Hyperlink"/>
    <w:basedOn w:val="Absatz-Standardschriftart"/>
    <w:uiPriority w:val="99"/>
    <w:unhideWhenUsed/>
    <w:rsid w:val="00317848"/>
    <w:rPr>
      <w:color w:val="0000FF" w:themeColor="hyperlink"/>
      <w:u w:val="single"/>
    </w:rPr>
  </w:style>
  <w:style w:type="table" w:customStyle="1" w:styleId="Tabellenraster2">
    <w:name w:val="Tabellenraster2"/>
    <w:basedOn w:val="NormaleTabelle"/>
    <w:next w:val="Tabellenraster"/>
    <w:uiPriority w:val="59"/>
    <w:rsid w:val="0030213D"/>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character" w:styleId="Hervorhebung">
    <w:name w:val="Emphasis"/>
    <w:uiPriority w:val="20"/>
    <w:qFormat/>
    <w:rsid w:val="00FF5205"/>
    <w:rPr>
      <w:i/>
      <w:iCs/>
    </w:rPr>
  </w:style>
  <w:style w:type="paragraph" w:customStyle="1" w:styleId="wp-caption-text">
    <w:name w:val="wp-caption-text"/>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character" w:customStyle="1" w:styleId="post-ratings">
    <w:name w:val="post-ratings"/>
    <w:rsid w:val="00FF5205"/>
  </w:style>
  <w:style w:type="paragraph" w:customStyle="1" w:styleId="h2">
    <w:name w:val="h2"/>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customStyle="1" w:styleId="h3">
    <w:name w:val="h3"/>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styleId="z-Formularbeginn">
    <w:name w:val="HTML Top of Form"/>
    <w:basedOn w:val="Standard"/>
    <w:next w:val="Standard"/>
    <w:link w:val="z-FormularbeginnZchn"/>
    <w:hidden/>
    <w:uiPriority w:val="99"/>
    <w:semiHidden/>
    <w:unhideWhenUsed/>
    <w:rsid w:val="00FF5205"/>
    <w:pPr>
      <w:pBdr>
        <w:bottom w:val="single" w:sz="6" w:space="1" w:color="auto"/>
      </w:pBdr>
      <w:spacing w:line="240" w:lineRule="auto"/>
      <w:jc w:val="center"/>
    </w:pPr>
    <w:rPr>
      <w:rFonts w:ascii="Arial" w:eastAsia="Times New Roman" w:hAnsi="Arial" w:cs="Arial"/>
      <w:vanish/>
      <w:sz w:val="16"/>
      <w:szCs w:val="16"/>
      <w:lang w:val="de-CH" w:eastAsia="de-DE"/>
    </w:rPr>
  </w:style>
  <w:style w:type="character" w:customStyle="1" w:styleId="z-FormularbeginnZchn">
    <w:name w:val="z-Formularbeginn Zchn"/>
    <w:basedOn w:val="Absatz-Standardschriftart"/>
    <w:link w:val="z-Formularbeginn"/>
    <w:uiPriority w:val="99"/>
    <w:semiHidden/>
    <w:rsid w:val="00FF5205"/>
    <w:rPr>
      <w:rFonts w:ascii="Arial" w:eastAsia="Times New Roman" w:hAnsi="Arial" w:cs="Arial"/>
      <w:vanish/>
      <w:sz w:val="16"/>
      <w:szCs w:val="16"/>
      <w:lang w:val="de-CH" w:eastAsia="de-DE"/>
    </w:rPr>
  </w:style>
  <w:style w:type="paragraph" w:customStyle="1" w:styleId="comment-notes">
    <w:name w:val="comment-notes"/>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character" w:customStyle="1" w:styleId="required">
    <w:name w:val="required"/>
    <w:rsid w:val="00FF5205"/>
  </w:style>
  <w:style w:type="paragraph" w:styleId="z-Formularende">
    <w:name w:val="HTML Bottom of Form"/>
    <w:basedOn w:val="Standard"/>
    <w:next w:val="Standard"/>
    <w:link w:val="z-FormularendeZchn"/>
    <w:hidden/>
    <w:uiPriority w:val="99"/>
    <w:semiHidden/>
    <w:unhideWhenUsed/>
    <w:rsid w:val="00FF5205"/>
    <w:pPr>
      <w:pBdr>
        <w:top w:val="single" w:sz="6" w:space="1" w:color="auto"/>
      </w:pBdr>
      <w:spacing w:line="240" w:lineRule="auto"/>
      <w:jc w:val="center"/>
    </w:pPr>
    <w:rPr>
      <w:rFonts w:ascii="Arial" w:eastAsia="Times New Roman" w:hAnsi="Arial" w:cs="Arial"/>
      <w:vanish/>
      <w:sz w:val="16"/>
      <w:szCs w:val="16"/>
      <w:lang w:val="de-CH" w:eastAsia="de-DE"/>
    </w:rPr>
  </w:style>
  <w:style w:type="character" w:customStyle="1" w:styleId="z-FormularendeZchn">
    <w:name w:val="z-Formularende Zchn"/>
    <w:basedOn w:val="Absatz-Standardschriftart"/>
    <w:link w:val="z-Formularende"/>
    <w:uiPriority w:val="99"/>
    <w:semiHidden/>
    <w:rsid w:val="00FF5205"/>
    <w:rPr>
      <w:rFonts w:ascii="Arial" w:eastAsia="Times New Roman" w:hAnsi="Arial" w:cs="Arial"/>
      <w:vanish/>
      <w:sz w:val="16"/>
      <w:szCs w:val="16"/>
      <w:lang w:val="de-CH" w:eastAsia="de-DE"/>
    </w:rPr>
  </w:style>
  <w:style w:type="paragraph" w:customStyle="1" w:styleId="h1">
    <w:name w:val="h1"/>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customStyle="1" w:styleId="a">
    <w:uiPriority w:val="99"/>
    <w:unhideWhenUsed/>
    <w:rsid w:val="00FF5205"/>
    <w:pPr>
      <w:spacing w:line="276" w:lineRule="auto"/>
    </w:pPr>
  </w:style>
  <w:style w:type="character" w:styleId="BesuchterHyperlink">
    <w:name w:val="FollowedHyperlink"/>
    <w:basedOn w:val="Absatz-Standardschriftart"/>
    <w:uiPriority w:val="99"/>
    <w:semiHidden/>
    <w:unhideWhenUsed/>
    <w:rsid w:val="00FF5205"/>
    <w:rPr>
      <w:color w:val="800080" w:themeColor="followedHyperlink"/>
      <w:u w:val="single"/>
    </w:rPr>
  </w:style>
  <w:style w:type="paragraph" w:customStyle="1" w:styleId="layercopyright">
    <w:name w:val="layercopyright"/>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styleId="Verzeichnis1">
    <w:name w:val="toc 1"/>
    <w:basedOn w:val="Standard"/>
    <w:next w:val="Standard"/>
    <w:autoRedefine/>
    <w:uiPriority w:val="39"/>
    <w:unhideWhenUsed/>
    <w:qFormat/>
    <w:rsid w:val="00FF5205"/>
    <w:pPr>
      <w:spacing w:after="100" w:line="259" w:lineRule="auto"/>
    </w:pPr>
    <w:rPr>
      <w:rFonts w:ascii="Calibri" w:eastAsia="Times New Roman" w:hAnsi="Calibri" w:cs="Times New Roman"/>
      <w:sz w:val="22"/>
      <w:lang w:val="de-CH" w:eastAsia="de-CH"/>
    </w:rPr>
  </w:style>
  <w:style w:type="character" w:styleId="Buchtitel">
    <w:name w:val="Book Title"/>
    <w:uiPriority w:val="33"/>
    <w:qFormat/>
    <w:rsid w:val="00FF5205"/>
    <w:rPr>
      <w:b/>
      <w:bCs/>
      <w:i/>
      <w:iCs/>
      <w:spacing w:val="5"/>
    </w:rPr>
  </w:style>
  <w:style w:type="character" w:styleId="IntensiveHervorhebung">
    <w:name w:val="Intense Emphasis"/>
    <w:uiPriority w:val="21"/>
    <w:qFormat/>
    <w:rsid w:val="00FF5205"/>
    <w:rPr>
      <w:i/>
      <w:iCs/>
      <w:color w:val="5B9BD5"/>
    </w:rPr>
  </w:style>
  <w:style w:type="paragraph" w:styleId="Untertitel">
    <w:name w:val="Subtitle"/>
    <w:basedOn w:val="Standard"/>
    <w:next w:val="Standard"/>
    <w:link w:val="UntertitelZchn"/>
    <w:uiPriority w:val="11"/>
    <w:qFormat/>
    <w:rsid w:val="00FF5205"/>
    <w:pPr>
      <w:spacing w:after="60" w:line="240" w:lineRule="auto"/>
      <w:jc w:val="center"/>
      <w:outlineLvl w:val="1"/>
    </w:pPr>
    <w:rPr>
      <w:rFonts w:ascii="Calibri" w:eastAsia="Times New Roman" w:hAnsi="Calibri" w:cs="Times New Roman"/>
      <w:b/>
      <w:i/>
      <w:sz w:val="28"/>
      <w:szCs w:val="24"/>
      <w:lang w:val="de-CH"/>
    </w:rPr>
  </w:style>
  <w:style w:type="character" w:customStyle="1" w:styleId="UntertitelZchn">
    <w:name w:val="Untertitel Zchn"/>
    <w:basedOn w:val="Absatz-Standardschriftart"/>
    <w:link w:val="Untertitel"/>
    <w:uiPriority w:val="11"/>
    <w:rsid w:val="00FF5205"/>
    <w:rPr>
      <w:rFonts w:ascii="Calibri" w:eastAsia="Times New Roman" w:hAnsi="Calibri" w:cs="Times New Roman"/>
      <w:b/>
      <w:i/>
      <w:sz w:val="28"/>
      <w:szCs w:val="24"/>
      <w:lang w:val="de-CH"/>
    </w:rPr>
  </w:style>
  <w:style w:type="character" w:styleId="SchwacheHervorhebung">
    <w:name w:val="Subtle Emphasis"/>
    <w:uiPriority w:val="19"/>
    <w:qFormat/>
    <w:rsid w:val="00FF5205"/>
    <w:rPr>
      <w:i/>
      <w:iCs/>
      <w:color w:val="404040"/>
    </w:rPr>
  </w:style>
  <w:style w:type="character" w:customStyle="1" w:styleId="UnresolvedMention">
    <w:name w:val="Unresolved Mention"/>
    <w:basedOn w:val="Absatz-Standardschriftart"/>
    <w:uiPriority w:val="99"/>
    <w:semiHidden/>
    <w:unhideWhenUsed/>
    <w:rsid w:val="00FD175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3CDC"/>
    <w:pPr>
      <w:spacing w:after="360" w:line="360" w:lineRule="auto"/>
    </w:pPr>
  </w:style>
  <w:style w:type="paragraph" w:styleId="berschrift1">
    <w:name w:val="heading 1"/>
    <w:basedOn w:val="Standard"/>
    <w:next w:val="Standard"/>
    <w:link w:val="berschrift1Zchn"/>
    <w:uiPriority w:val="9"/>
    <w:qFormat/>
    <w:rsid w:val="00573A6C"/>
    <w:pPr>
      <w:keepNext/>
      <w:keepLines/>
      <w:spacing w:before="480"/>
      <w:outlineLvl w:val="0"/>
    </w:pPr>
    <w:rPr>
      <w:rFonts w:eastAsiaTheme="majorEastAsia" w:cstheme="majorBidi"/>
      <w:b/>
      <w:bCs/>
      <w:sz w:val="44"/>
      <w:szCs w:val="28"/>
    </w:rPr>
  </w:style>
  <w:style w:type="paragraph" w:styleId="berschrift2">
    <w:name w:val="heading 2"/>
    <w:basedOn w:val="Standard"/>
    <w:next w:val="Standard"/>
    <w:link w:val="berschrift2Zchn"/>
    <w:uiPriority w:val="9"/>
    <w:unhideWhenUsed/>
    <w:qFormat/>
    <w:rsid w:val="00961AA2"/>
    <w:pPr>
      <w:keepNext/>
      <w:keepLines/>
      <w:spacing w:before="200" w:after="240" w:line="288" w:lineRule="auto"/>
      <w:outlineLvl w:val="1"/>
    </w:pPr>
    <w:rPr>
      <w:rFonts w:eastAsiaTheme="majorEastAsia" w:cstheme="majorBidi"/>
      <w:b/>
      <w:bCs/>
      <w:sz w:val="28"/>
      <w:szCs w:val="26"/>
    </w:rPr>
  </w:style>
  <w:style w:type="paragraph" w:styleId="berschrift3">
    <w:name w:val="heading 3"/>
    <w:basedOn w:val="Standard"/>
    <w:next w:val="Standard"/>
    <w:link w:val="berschrift3Zchn"/>
    <w:uiPriority w:val="9"/>
    <w:unhideWhenUsed/>
    <w:qFormat/>
    <w:rsid w:val="005A4E91"/>
    <w:pPr>
      <w:keepNext/>
      <w:keepLines/>
      <w:spacing w:before="240" w:after="12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DB6DE3"/>
    <w:pPr>
      <w:keepNext/>
      <w:keepLines/>
      <w:spacing w:before="200"/>
      <w:outlineLvl w:val="3"/>
    </w:pPr>
    <w:rPr>
      <w:rFonts w:eastAsiaTheme="majorEastAsia" w:cstheme="majorBidi"/>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3A6C"/>
    <w:rPr>
      <w:rFonts w:eastAsiaTheme="majorEastAsia" w:cstheme="majorBidi"/>
      <w:b/>
      <w:bCs/>
      <w:sz w:val="44"/>
      <w:szCs w:val="28"/>
    </w:rPr>
  </w:style>
  <w:style w:type="character" w:customStyle="1" w:styleId="berschrift2Zchn">
    <w:name w:val="Überschrift 2 Zchn"/>
    <w:basedOn w:val="Absatz-Standardschriftart"/>
    <w:link w:val="berschrift2"/>
    <w:uiPriority w:val="9"/>
    <w:rsid w:val="00961AA2"/>
    <w:rPr>
      <w:rFonts w:eastAsiaTheme="majorEastAsia" w:cstheme="majorBidi"/>
      <w:b/>
      <w:bCs/>
      <w:sz w:val="28"/>
      <w:szCs w:val="26"/>
    </w:rPr>
  </w:style>
  <w:style w:type="character" w:customStyle="1" w:styleId="berschrift3Zchn">
    <w:name w:val="Überschrift 3 Zchn"/>
    <w:basedOn w:val="Absatz-Standardschriftart"/>
    <w:link w:val="berschrift3"/>
    <w:uiPriority w:val="9"/>
    <w:rsid w:val="005A4E91"/>
    <w:rPr>
      <w:rFonts w:eastAsiaTheme="majorEastAsia" w:cstheme="majorBidi"/>
      <w:b/>
      <w:bCs/>
    </w:rPr>
  </w:style>
  <w:style w:type="character" w:customStyle="1" w:styleId="berschrift4Zchn">
    <w:name w:val="Überschrift 4 Zchn"/>
    <w:basedOn w:val="Absatz-Standardschriftart"/>
    <w:link w:val="berschrift4"/>
    <w:uiPriority w:val="9"/>
    <w:rsid w:val="00DB6DE3"/>
    <w:rPr>
      <w:rFonts w:eastAsiaTheme="majorEastAsia" w:cstheme="majorBidi"/>
      <w:b/>
      <w:bCs/>
      <w:iCs/>
    </w:rPr>
  </w:style>
  <w:style w:type="paragraph" w:styleId="Kopfzeile">
    <w:name w:val="header"/>
    <w:basedOn w:val="Standard"/>
    <w:link w:val="KopfzeileZchn"/>
    <w:uiPriority w:val="99"/>
    <w:unhideWhenUsed/>
    <w:rsid w:val="0059662F"/>
    <w:pPr>
      <w:tabs>
        <w:tab w:val="center" w:pos="4536"/>
        <w:tab w:val="right" w:pos="9072"/>
      </w:tabs>
    </w:pPr>
  </w:style>
  <w:style w:type="character" w:customStyle="1" w:styleId="KopfzeileZchn">
    <w:name w:val="Kopfzeile Zchn"/>
    <w:basedOn w:val="Absatz-Standardschriftart"/>
    <w:link w:val="Kopfzeile"/>
    <w:uiPriority w:val="99"/>
    <w:rsid w:val="0059662F"/>
  </w:style>
  <w:style w:type="paragraph" w:styleId="Fuzeile">
    <w:name w:val="footer"/>
    <w:basedOn w:val="Standard"/>
    <w:link w:val="FuzeileZchn"/>
    <w:uiPriority w:val="99"/>
    <w:unhideWhenUsed/>
    <w:rsid w:val="0059662F"/>
    <w:pPr>
      <w:tabs>
        <w:tab w:val="center" w:pos="4536"/>
        <w:tab w:val="right" w:pos="9072"/>
      </w:tabs>
    </w:pPr>
  </w:style>
  <w:style w:type="character" w:customStyle="1" w:styleId="FuzeileZchn">
    <w:name w:val="Fußzeile Zchn"/>
    <w:basedOn w:val="Absatz-Standardschriftart"/>
    <w:link w:val="Fuzeile"/>
    <w:uiPriority w:val="99"/>
    <w:rsid w:val="0059662F"/>
  </w:style>
  <w:style w:type="paragraph" w:styleId="Sprechblasentext">
    <w:name w:val="Balloon Text"/>
    <w:basedOn w:val="Standard"/>
    <w:link w:val="SprechblasentextZchn"/>
    <w:uiPriority w:val="99"/>
    <w:semiHidden/>
    <w:unhideWhenUsed/>
    <w:rsid w:val="005966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662F"/>
    <w:rPr>
      <w:rFonts w:ascii="Tahoma" w:hAnsi="Tahoma" w:cs="Tahoma"/>
      <w:sz w:val="16"/>
      <w:szCs w:val="16"/>
    </w:rPr>
  </w:style>
  <w:style w:type="table" w:styleId="Tabellenraster">
    <w:name w:val="Table Grid"/>
    <w:basedOn w:val="NormaleTabelle"/>
    <w:uiPriority w:val="59"/>
    <w:rsid w:val="00F34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80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C12E0"/>
    <w:pPr>
      <w:ind w:left="720"/>
      <w:contextualSpacing/>
    </w:pPr>
  </w:style>
  <w:style w:type="character" w:customStyle="1" w:styleId="section">
    <w:name w:val="section"/>
    <w:basedOn w:val="Absatz-Standardschriftart"/>
    <w:rsid w:val="00766B62"/>
  </w:style>
  <w:style w:type="character" w:styleId="Fett">
    <w:name w:val="Strong"/>
    <w:basedOn w:val="Absatz-Standardschriftart"/>
    <w:uiPriority w:val="22"/>
    <w:qFormat/>
    <w:rsid w:val="00766B62"/>
    <w:rPr>
      <w:b/>
      <w:bCs/>
    </w:rPr>
  </w:style>
  <w:style w:type="paragraph" w:styleId="KeinLeerraum">
    <w:name w:val="No Spacing"/>
    <w:uiPriority w:val="1"/>
    <w:qFormat/>
    <w:rsid w:val="00961AA2"/>
  </w:style>
  <w:style w:type="paragraph" w:styleId="Inhaltsverzeichnisberschrift">
    <w:name w:val="TOC Heading"/>
    <w:basedOn w:val="berschrift1"/>
    <w:next w:val="Standard"/>
    <w:uiPriority w:val="39"/>
    <w:unhideWhenUsed/>
    <w:qFormat/>
    <w:rsid w:val="00317848"/>
    <w:pPr>
      <w:outlineLvl w:val="9"/>
    </w:pPr>
    <w:rPr>
      <w:lang w:eastAsia="de-DE"/>
    </w:rPr>
  </w:style>
  <w:style w:type="paragraph" w:styleId="Verzeichnis2">
    <w:name w:val="toc 2"/>
    <w:basedOn w:val="Standard"/>
    <w:next w:val="Standard"/>
    <w:autoRedefine/>
    <w:uiPriority w:val="39"/>
    <w:unhideWhenUsed/>
    <w:qFormat/>
    <w:rsid w:val="00E5308F"/>
    <w:pPr>
      <w:tabs>
        <w:tab w:val="left" w:pos="426"/>
        <w:tab w:val="left" w:pos="993"/>
        <w:tab w:val="left" w:pos="1418"/>
        <w:tab w:val="left" w:pos="1701"/>
        <w:tab w:val="right" w:leader="dot" w:pos="9231"/>
      </w:tabs>
      <w:spacing w:after="100"/>
      <w:ind w:left="426" w:hanging="426"/>
    </w:pPr>
  </w:style>
  <w:style w:type="paragraph" w:styleId="Verzeichnis3">
    <w:name w:val="toc 3"/>
    <w:basedOn w:val="Standard"/>
    <w:next w:val="Standard"/>
    <w:autoRedefine/>
    <w:uiPriority w:val="39"/>
    <w:unhideWhenUsed/>
    <w:qFormat/>
    <w:rsid w:val="00317848"/>
    <w:pPr>
      <w:spacing w:after="100"/>
      <w:ind w:left="480"/>
    </w:pPr>
  </w:style>
  <w:style w:type="character" w:styleId="Hyperlink">
    <w:name w:val="Hyperlink"/>
    <w:basedOn w:val="Absatz-Standardschriftart"/>
    <w:uiPriority w:val="99"/>
    <w:unhideWhenUsed/>
    <w:rsid w:val="00317848"/>
    <w:rPr>
      <w:color w:val="0000FF" w:themeColor="hyperlink"/>
      <w:u w:val="single"/>
    </w:rPr>
  </w:style>
  <w:style w:type="table" w:customStyle="1" w:styleId="Tabellenraster2">
    <w:name w:val="Tabellenraster2"/>
    <w:basedOn w:val="NormaleTabelle"/>
    <w:next w:val="Tabellenraster"/>
    <w:uiPriority w:val="59"/>
    <w:rsid w:val="0030213D"/>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character" w:styleId="Hervorhebung">
    <w:name w:val="Emphasis"/>
    <w:uiPriority w:val="20"/>
    <w:qFormat/>
    <w:rsid w:val="00FF5205"/>
    <w:rPr>
      <w:i/>
      <w:iCs/>
    </w:rPr>
  </w:style>
  <w:style w:type="paragraph" w:customStyle="1" w:styleId="wp-caption-text">
    <w:name w:val="wp-caption-text"/>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character" w:customStyle="1" w:styleId="post-ratings">
    <w:name w:val="post-ratings"/>
    <w:rsid w:val="00FF5205"/>
  </w:style>
  <w:style w:type="paragraph" w:customStyle="1" w:styleId="h2">
    <w:name w:val="h2"/>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customStyle="1" w:styleId="h3">
    <w:name w:val="h3"/>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styleId="z-Formularbeginn">
    <w:name w:val="HTML Top of Form"/>
    <w:basedOn w:val="Standard"/>
    <w:next w:val="Standard"/>
    <w:link w:val="z-FormularbeginnZchn"/>
    <w:hidden/>
    <w:uiPriority w:val="99"/>
    <w:semiHidden/>
    <w:unhideWhenUsed/>
    <w:rsid w:val="00FF5205"/>
    <w:pPr>
      <w:pBdr>
        <w:bottom w:val="single" w:sz="6" w:space="1" w:color="auto"/>
      </w:pBdr>
      <w:spacing w:line="240" w:lineRule="auto"/>
      <w:jc w:val="center"/>
    </w:pPr>
    <w:rPr>
      <w:rFonts w:ascii="Arial" w:eastAsia="Times New Roman" w:hAnsi="Arial" w:cs="Arial"/>
      <w:vanish/>
      <w:sz w:val="16"/>
      <w:szCs w:val="16"/>
      <w:lang w:val="de-CH" w:eastAsia="de-DE"/>
    </w:rPr>
  </w:style>
  <w:style w:type="character" w:customStyle="1" w:styleId="z-FormularbeginnZchn">
    <w:name w:val="z-Formularbeginn Zchn"/>
    <w:basedOn w:val="Absatz-Standardschriftart"/>
    <w:link w:val="z-Formularbeginn"/>
    <w:uiPriority w:val="99"/>
    <w:semiHidden/>
    <w:rsid w:val="00FF5205"/>
    <w:rPr>
      <w:rFonts w:ascii="Arial" w:eastAsia="Times New Roman" w:hAnsi="Arial" w:cs="Arial"/>
      <w:vanish/>
      <w:sz w:val="16"/>
      <w:szCs w:val="16"/>
      <w:lang w:val="de-CH" w:eastAsia="de-DE"/>
    </w:rPr>
  </w:style>
  <w:style w:type="paragraph" w:customStyle="1" w:styleId="comment-notes">
    <w:name w:val="comment-notes"/>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character" w:customStyle="1" w:styleId="required">
    <w:name w:val="required"/>
    <w:rsid w:val="00FF5205"/>
  </w:style>
  <w:style w:type="paragraph" w:styleId="z-Formularende">
    <w:name w:val="HTML Bottom of Form"/>
    <w:basedOn w:val="Standard"/>
    <w:next w:val="Standard"/>
    <w:link w:val="z-FormularendeZchn"/>
    <w:hidden/>
    <w:uiPriority w:val="99"/>
    <w:semiHidden/>
    <w:unhideWhenUsed/>
    <w:rsid w:val="00FF5205"/>
    <w:pPr>
      <w:pBdr>
        <w:top w:val="single" w:sz="6" w:space="1" w:color="auto"/>
      </w:pBdr>
      <w:spacing w:line="240" w:lineRule="auto"/>
      <w:jc w:val="center"/>
    </w:pPr>
    <w:rPr>
      <w:rFonts w:ascii="Arial" w:eastAsia="Times New Roman" w:hAnsi="Arial" w:cs="Arial"/>
      <w:vanish/>
      <w:sz w:val="16"/>
      <w:szCs w:val="16"/>
      <w:lang w:val="de-CH" w:eastAsia="de-DE"/>
    </w:rPr>
  </w:style>
  <w:style w:type="character" w:customStyle="1" w:styleId="z-FormularendeZchn">
    <w:name w:val="z-Formularende Zchn"/>
    <w:basedOn w:val="Absatz-Standardschriftart"/>
    <w:link w:val="z-Formularende"/>
    <w:uiPriority w:val="99"/>
    <w:semiHidden/>
    <w:rsid w:val="00FF5205"/>
    <w:rPr>
      <w:rFonts w:ascii="Arial" w:eastAsia="Times New Roman" w:hAnsi="Arial" w:cs="Arial"/>
      <w:vanish/>
      <w:sz w:val="16"/>
      <w:szCs w:val="16"/>
      <w:lang w:val="de-CH" w:eastAsia="de-DE"/>
    </w:rPr>
  </w:style>
  <w:style w:type="paragraph" w:customStyle="1" w:styleId="h1">
    <w:name w:val="h1"/>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customStyle="1" w:styleId="a">
    <w:uiPriority w:val="99"/>
    <w:unhideWhenUsed/>
    <w:rsid w:val="00FF5205"/>
    <w:pPr>
      <w:spacing w:line="276" w:lineRule="auto"/>
    </w:pPr>
  </w:style>
  <w:style w:type="character" w:styleId="BesuchterHyperlink">
    <w:name w:val="FollowedHyperlink"/>
    <w:basedOn w:val="Absatz-Standardschriftart"/>
    <w:uiPriority w:val="99"/>
    <w:semiHidden/>
    <w:unhideWhenUsed/>
    <w:rsid w:val="00FF5205"/>
    <w:rPr>
      <w:color w:val="800080" w:themeColor="followedHyperlink"/>
      <w:u w:val="single"/>
    </w:rPr>
  </w:style>
  <w:style w:type="paragraph" w:customStyle="1" w:styleId="layercopyright">
    <w:name w:val="layercopyright"/>
    <w:basedOn w:val="Standard"/>
    <w:rsid w:val="00FF5205"/>
    <w:pPr>
      <w:spacing w:before="100" w:beforeAutospacing="1" w:after="100" w:afterAutospacing="1" w:line="240" w:lineRule="auto"/>
    </w:pPr>
    <w:rPr>
      <w:rFonts w:ascii="Times New Roman" w:eastAsia="Times New Roman" w:hAnsi="Times New Roman" w:cs="Times New Roman"/>
      <w:szCs w:val="24"/>
      <w:lang w:val="de-CH" w:eastAsia="de-DE"/>
    </w:rPr>
  </w:style>
  <w:style w:type="paragraph" w:styleId="Verzeichnis1">
    <w:name w:val="toc 1"/>
    <w:basedOn w:val="Standard"/>
    <w:next w:val="Standard"/>
    <w:autoRedefine/>
    <w:uiPriority w:val="39"/>
    <w:unhideWhenUsed/>
    <w:qFormat/>
    <w:rsid w:val="00FF5205"/>
    <w:pPr>
      <w:spacing w:after="100" w:line="259" w:lineRule="auto"/>
    </w:pPr>
    <w:rPr>
      <w:rFonts w:ascii="Calibri" w:eastAsia="Times New Roman" w:hAnsi="Calibri" w:cs="Times New Roman"/>
      <w:sz w:val="22"/>
      <w:lang w:val="de-CH" w:eastAsia="de-CH"/>
    </w:rPr>
  </w:style>
  <w:style w:type="character" w:styleId="Buchtitel">
    <w:name w:val="Book Title"/>
    <w:uiPriority w:val="33"/>
    <w:qFormat/>
    <w:rsid w:val="00FF5205"/>
    <w:rPr>
      <w:b/>
      <w:bCs/>
      <w:i/>
      <w:iCs/>
      <w:spacing w:val="5"/>
    </w:rPr>
  </w:style>
  <w:style w:type="character" w:styleId="IntensiveHervorhebung">
    <w:name w:val="Intense Emphasis"/>
    <w:uiPriority w:val="21"/>
    <w:qFormat/>
    <w:rsid w:val="00FF5205"/>
    <w:rPr>
      <w:i/>
      <w:iCs/>
      <w:color w:val="5B9BD5"/>
    </w:rPr>
  </w:style>
  <w:style w:type="paragraph" w:styleId="Untertitel">
    <w:name w:val="Subtitle"/>
    <w:basedOn w:val="Standard"/>
    <w:next w:val="Standard"/>
    <w:link w:val="UntertitelZchn"/>
    <w:uiPriority w:val="11"/>
    <w:qFormat/>
    <w:rsid w:val="00FF5205"/>
    <w:pPr>
      <w:spacing w:after="60" w:line="240" w:lineRule="auto"/>
      <w:jc w:val="center"/>
      <w:outlineLvl w:val="1"/>
    </w:pPr>
    <w:rPr>
      <w:rFonts w:ascii="Calibri" w:eastAsia="Times New Roman" w:hAnsi="Calibri" w:cs="Times New Roman"/>
      <w:b/>
      <w:i/>
      <w:sz w:val="28"/>
      <w:szCs w:val="24"/>
      <w:lang w:val="de-CH"/>
    </w:rPr>
  </w:style>
  <w:style w:type="character" w:customStyle="1" w:styleId="UntertitelZchn">
    <w:name w:val="Untertitel Zchn"/>
    <w:basedOn w:val="Absatz-Standardschriftart"/>
    <w:link w:val="Untertitel"/>
    <w:uiPriority w:val="11"/>
    <w:rsid w:val="00FF5205"/>
    <w:rPr>
      <w:rFonts w:ascii="Calibri" w:eastAsia="Times New Roman" w:hAnsi="Calibri" w:cs="Times New Roman"/>
      <w:b/>
      <w:i/>
      <w:sz w:val="28"/>
      <w:szCs w:val="24"/>
      <w:lang w:val="de-CH"/>
    </w:rPr>
  </w:style>
  <w:style w:type="character" w:styleId="SchwacheHervorhebung">
    <w:name w:val="Subtle Emphasis"/>
    <w:uiPriority w:val="19"/>
    <w:qFormat/>
    <w:rsid w:val="00FF5205"/>
    <w:rPr>
      <w:i/>
      <w:iCs/>
      <w:color w:val="404040"/>
    </w:rPr>
  </w:style>
  <w:style w:type="character" w:customStyle="1" w:styleId="UnresolvedMention">
    <w:name w:val="Unresolved Mention"/>
    <w:basedOn w:val="Absatz-Standardschriftart"/>
    <w:uiPriority w:val="99"/>
    <w:semiHidden/>
    <w:unhideWhenUsed/>
    <w:rsid w:val="00FD1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g-selbsthilfe.de/informationsportal-selbsthilfe-aktive/projekte/familienorientierte-selbsthilf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E8044-478D-44FD-83EB-827EAD62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5115</Words>
  <Characters>32230</Characters>
  <Application>Microsoft Office Word</Application>
  <DocSecurity>0</DocSecurity>
  <Lines>268</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pgruendges</dc:creator>
  <cp:lastModifiedBy>Petra Gruendges</cp:lastModifiedBy>
  <cp:revision>2</cp:revision>
  <cp:lastPrinted>2019-07-05T09:06:00Z</cp:lastPrinted>
  <dcterms:created xsi:type="dcterms:W3CDTF">2019-07-09T12:57:00Z</dcterms:created>
  <dcterms:modified xsi:type="dcterms:W3CDTF">2019-07-09T12:57:00Z</dcterms:modified>
</cp:coreProperties>
</file>