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401" w:rsidRPr="001A6105" w:rsidRDefault="00472401" w:rsidP="001A6105">
      <w:pPr>
        <w:pStyle w:val="Listenabsatz"/>
        <w:numPr>
          <w:ilvl w:val="0"/>
          <w:numId w:val="2"/>
        </w:numPr>
        <w:spacing w:line="276" w:lineRule="auto"/>
        <w:jc w:val="both"/>
        <w:rPr>
          <w:rFonts w:ascii="Trebuchet MS" w:hAnsi="Trebuchet MS"/>
          <w:b/>
          <w:sz w:val="28"/>
        </w:rPr>
      </w:pPr>
      <w:r w:rsidRPr="001A6105">
        <w:rPr>
          <w:rFonts w:ascii="Trebuchet MS" w:hAnsi="Trebuchet MS"/>
          <w:b/>
          <w:sz w:val="28"/>
        </w:rPr>
        <w:t>Europäi</w:t>
      </w:r>
      <w:r w:rsidR="00B11309" w:rsidRPr="001A6105">
        <w:rPr>
          <w:rFonts w:ascii="Trebuchet MS" w:hAnsi="Trebuchet MS"/>
          <w:b/>
          <w:sz w:val="28"/>
        </w:rPr>
        <w:t>s</w:t>
      </w:r>
      <w:r w:rsidRPr="001A6105">
        <w:rPr>
          <w:rFonts w:ascii="Trebuchet MS" w:hAnsi="Trebuchet MS"/>
          <w:b/>
          <w:sz w:val="28"/>
        </w:rPr>
        <w:t>ches HTA</w:t>
      </w:r>
      <w:r w:rsidR="003A799F" w:rsidRPr="001A6105">
        <w:rPr>
          <w:rFonts w:ascii="Trebuchet MS" w:hAnsi="Trebuchet MS"/>
          <w:b/>
          <w:sz w:val="28"/>
        </w:rPr>
        <w:t>-</w:t>
      </w:r>
      <w:r w:rsidR="00B11309" w:rsidRPr="001A6105">
        <w:rPr>
          <w:rFonts w:ascii="Trebuchet MS" w:hAnsi="Trebuchet MS"/>
          <w:b/>
          <w:sz w:val="28"/>
        </w:rPr>
        <w:t xml:space="preserve"> </w:t>
      </w:r>
      <w:r w:rsidRPr="001A6105">
        <w:rPr>
          <w:rFonts w:ascii="Trebuchet MS" w:hAnsi="Trebuchet MS"/>
          <w:b/>
          <w:sz w:val="28"/>
        </w:rPr>
        <w:t>Verfahren</w:t>
      </w:r>
      <w:r w:rsidR="003A799F" w:rsidRPr="001A6105">
        <w:rPr>
          <w:rFonts w:ascii="Trebuchet MS" w:hAnsi="Trebuchet MS"/>
          <w:b/>
          <w:sz w:val="28"/>
        </w:rPr>
        <w:t xml:space="preserve"> (EU-HTA)</w:t>
      </w:r>
    </w:p>
    <w:p w:rsidR="00472401" w:rsidRPr="001A6105" w:rsidRDefault="009E47A6" w:rsidP="001A6105">
      <w:pPr>
        <w:spacing w:line="276" w:lineRule="auto"/>
        <w:jc w:val="both"/>
        <w:rPr>
          <w:rFonts w:ascii="Trebuchet MS" w:hAnsi="Trebuchet MS"/>
          <w:sz w:val="24"/>
          <w:szCs w:val="24"/>
        </w:rPr>
      </w:pPr>
      <w:r w:rsidRPr="001A6105">
        <w:rPr>
          <w:rFonts w:ascii="Trebuchet MS" w:hAnsi="Trebuchet MS"/>
          <w:sz w:val="24"/>
          <w:szCs w:val="24"/>
        </w:rPr>
        <w:t xml:space="preserve">Die Verordnung für </w:t>
      </w:r>
      <w:r w:rsidR="00B11309" w:rsidRPr="001A6105">
        <w:rPr>
          <w:rFonts w:ascii="Trebuchet MS" w:hAnsi="Trebuchet MS"/>
          <w:sz w:val="24"/>
          <w:szCs w:val="24"/>
        </w:rPr>
        <w:t>das</w:t>
      </w:r>
      <w:r w:rsidRPr="001A6105">
        <w:rPr>
          <w:rFonts w:ascii="Trebuchet MS" w:hAnsi="Trebuchet MS"/>
          <w:sz w:val="24"/>
          <w:szCs w:val="24"/>
        </w:rPr>
        <w:t xml:space="preserve"> EU-HTA </w:t>
      </w:r>
      <w:r w:rsidR="00B11309" w:rsidRPr="001A6105">
        <w:rPr>
          <w:rFonts w:ascii="Trebuchet MS" w:hAnsi="Trebuchet MS"/>
          <w:sz w:val="24"/>
          <w:szCs w:val="24"/>
        </w:rPr>
        <w:t xml:space="preserve">Verfahren </w:t>
      </w:r>
      <w:r w:rsidRPr="001A6105">
        <w:rPr>
          <w:rFonts w:ascii="Trebuchet MS" w:hAnsi="Trebuchet MS"/>
          <w:sz w:val="24"/>
          <w:szCs w:val="24"/>
        </w:rPr>
        <w:t>wurde im Dezember 2021 verabschiedet. Die Verordnung ist seit Januar 2022 gültig</w:t>
      </w:r>
      <w:r w:rsidR="0094165F" w:rsidRPr="001A6105">
        <w:rPr>
          <w:rFonts w:ascii="Trebuchet MS" w:hAnsi="Trebuchet MS"/>
          <w:sz w:val="24"/>
          <w:szCs w:val="24"/>
        </w:rPr>
        <w:t xml:space="preserve"> </w:t>
      </w:r>
      <w:r w:rsidRPr="001A6105">
        <w:rPr>
          <w:rFonts w:ascii="Trebuchet MS" w:hAnsi="Trebuchet MS"/>
          <w:sz w:val="24"/>
          <w:szCs w:val="24"/>
        </w:rPr>
        <w:t xml:space="preserve">und soll bis 2030 </w:t>
      </w:r>
      <w:r w:rsidR="0094165F" w:rsidRPr="001A6105">
        <w:rPr>
          <w:rFonts w:ascii="Trebuchet MS" w:hAnsi="Trebuchet MS"/>
          <w:sz w:val="24"/>
          <w:szCs w:val="24"/>
        </w:rPr>
        <w:t>umgesetzt werden.</w:t>
      </w:r>
      <w:r w:rsidR="003A799F" w:rsidRPr="001A6105">
        <w:rPr>
          <w:rFonts w:ascii="Trebuchet MS" w:hAnsi="Trebuchet MS"/>
          <w:sz w:val="24"/>
          <w:szCs w:val="24"/>
        </w:rPr>
        <w:t xml:space="preserve"> Landläufig wird das </w:t>
      </w:r>
      <w:r w:rsidR="00B8074D">
        <w:rPr>
          <w:rFonts w:ascii="Trebuchet MS" w:hAnsi="Trebuchet MS"/>
          <w:sz w:val="24"/>
          <w:szCs w:val="24"/>
        </w:rPr>
        <w:t>V</w:t>
      </w:r>
      <w:r w:rsidR="003A799F" w:rsidRPr="001A6105">
        <w:rPr>
          <w:rFonts w:ascii="Trebuchet MS" w:hAnsi="Trebuchet MS"/>
          <w:sz w:val="24"/>
          <w:szCs w:val="24"/>
        </w:rPr>
        <w:t>erfahren als „europäisches Nutzenbewertungsverfahren für Arzneimittel und Medizinprodukte“ bezeichnet.</w:t>
      </w:r>
    </w:p>
    <w:p w:rsidR="001A6105" w:rsidRPr="001A6105" w:rsidRDefault="001A6105" w:rsidP="001A6105">
      <w:pPr>
        <w:spacing w:line="276" w:lineRule="auto"/>
        <w:jc w:val="both"/>
        <w:rPr>
          <w:rFonts w:ascii="Trebuchet MS" w:hAnsi="Trebuchet MS"/>
          <w:sz w:val="24"/>
          <w:szCs w:val="24"/>
        </w:rPr>
      </w:pPr>
    </w:p>
    <w:p w:rsidR="008738DE" w:rsidRPr="001A6105" w:rsidRDefault="008738DE" w:rsidP="001A6105">
      <w:pPr>
        <w:pStyle w:val="Listenabsatz"/>
        <w:numPr>
          <w:ilvl w:val="0"/>
          <w:numId w:val="7"/>
        </w:numPr>
        <w:spacing w:line="276" w:lineRule="auto"/>
        <w:jc w:val="both"/>
        <w:rPr>
          <w:rFonts w:ascii="Trebuchet MS" w:hAnsi="Trebuchet MS"/>
          <w:b/>
          <w:sz w:val="24"/>
          <w:szCs w:val="24"/>
        </w:rPr>
      </w:pPr>
      <w:r w:rsidRPr="001A6105">
        <w:rPr>
          <w:rFonts w:ascii="Trebuchet MS" w:hAnsi="Trebuchet MS"/>
          <w:b/>
          <w:sz w:val="24"/>
          <w:szCs w:val="24"/>
        </w:rPr>
        <w:t>Worum geht es beim E</w:t>
      </w:r>
      <w:r w:rsidR="00ED2715" w:rsidRPr="001A6105">
        <w:rPr>
          <w:rFonts w:ascii="Trebuchet MS" w:hAnsi="Trebuchet MS"/>
          <w:b/>
          <w:sz w:val="24"/>
          <w:szCs w:val="24"/>
        </w:rPr>
        <w:t>U</w:t>
      </w:r>
      <w:r w:rsidRPr="001A6105">
        <w:rPr>
          <w:rFonts w:ascii="Trebuchet MS" w:hAnsi="Trebuchet MS"/>
          <w:b/>
          <w:sz w:val="24"/>
          <w:szCs w:val="24"/>
        </w:rPr>
        <w:t>-HTA Verfahren</w:t>
      </w:r>
      <w:r w:rsidR="00ED2715" w:rsidRPr="001A6105">
        <w:rPr>
          <w:rFonts w:ascii="Trebuchet MS" w:hAnsi="Trebuchet MS"/>
          <w:b/>
          <w:sz w:val="24"/>
          <w:szCs w:val="24"/>
        </w:rPr>
        <w:t>?</w:t>
      </w:r>
    </w:p>
    <w:p w:rsidR="00F13768" w:rsidRDefault="008738DE" w:rsidP="001A6105">
      <w:pPr>
        <w:spacing w:line="276" w:lineRule="auto"/>
        <w:jc w:val="both"/>
        <w:rPr>
          <w:rFonts w:ascii="Trebuchet MS" w:hAnsi="Trebuchet MS"/>
          <w:sz w:val="24"/>
          <w:szCs w:val="24"/>
        </w:rPr>
      </w:pPr>
      <w:r w:rsidRPr="001A6105">
        <w:rPr>
          <w:rFonts w:ascii="Trebuchet MS" w:hAnsi="Trebuchet MS"/>
          <w:sz w:val="24"/>
          <w:szCs w:val="24"/>
        </w:rPr>
        <w:t xml:space="preserve">Es soll ein Verfahren </w:t>
      </w:r>
      <w:r w:rsidR="0000598E" w:rsidRPr="001A6105">
        <w:rPr>
          <w:rFonts w:ascii="Trebuchet MS" w:hAnsi="Trebuchet MS"/>
          <w:sz w:val="24"/>
          <w:szCs w:val="24"/>
        </w:rPr>
        <w:t xml:space="preserve">zur Bewertung von Gesundheitstechnologien </w:t>
      </w:r>
      <w:r w:rsidR="00ED2715" w:rsidRPr="001A6105">
        <w:rPr>
          <w:rFonts w:ascii="Trebuchet MS" w:hAnsi="Trebuchet MS"/>
          <w:sz w:val="24"/>
          <w:szCs w:val="24"/>
        </w:rPr>
        <w:t xml:space="preserve">und ein Unterstützungsrahmen </w:t>
      </w:r>
      <w:r w:rsidRPr="001A6105">
        <w:rPr>
          <w:rFonts w:ascii="Trebuchet MS" w:hAnsi="Trebuchet MS"/>
          <w:sz w:val="24"/>
          <w:szCs w:val="24"/>
        </w:rPr>
        <w:t xml:space="preserve">für </w:t>
      </w:r>
      <w:r w:rsidR="00ED2715" w:rsidRPr="001A6105">
        <w:rPr>
          <w:rFonts w:ascii="Trebuchet MS" w:hAnsi="Trebuchet MS"/>
          <w:sz w:val="24"/>
          <w:szCs w:val="24"/>
        </w:rPr>
        <w:t xml:space="preserve">die </w:t>
      </w:r>
      <w:r w:rsidRPr="001A6105">
        <w:rPr>
          <w:rFonts w:ascii="Trebuchet MS" w:hAnsi="Trebuchet MS"/>
          <w:sz w:val="24"/>
          <w:szCs w:val="24"/>
        </w:rPr>
        <w:t xml:space="preserve">Zusammenarbeit von </w:t>
      </w:r>
      <w:r w:rsidR="00ED2715" w:rsidRPr="001A6105">
        <w:rPr>
          <w:rFonts w:ascii="Trebuchet MS" w:hAnsi="Trebuchet MS"/>
          <w:sz w:val="24"/>
          <w:szCs w:val="24"/>
        </w:rPr>
        <w:t xml:space="preserve">Europäischen </w:t>
      </w:r>
      <w:r w:rsidRPr="001A6105">
        <w:rPr>
          <w:rFonts w:ascii="Trebuchet MS" w:hAnsi="Trebuchet MS"/>
          <w:sz w:val="24"/>
          <w:szCs w:val="24"/>
        </w:rPr>
        <w:t>Mitglied</w:t>
      </w:r>
      <w:r w:rsidR="00B8074D">
        <w:rPr>
          <w:rFonts w:ascii="Trebuchet MS" w:hAnsi="Trebuchet MS"/>
          <w:sz w:val="24"/>
          <w:szCs w:val="24"/>
        </w:rPr>
        <w:t>s</w:t>
      </w:r>
      <w:r w:rsidRPr="001A6105">
        <w:rPr>
          <w:rFonts w:ascii="Trebuchet MS" w:hAnsi="Trebuchet MS"/>
          <w:sz w:val="24"/>
          <w:szCs w:val="24"/>
        </w:rPr>
        <w:t xml:space="preserve">staaten im Bereich Gesundheitstechnologien </w:t>
      </w:r>
      <w:r w:rsidR="0000598E" w:rsidRPr="001A6105">
        <w:rPr>
          <w:rFonts w:ascii="Trebuchet MS" w:hAnsi="Trebuchet MS"/>
          <w:sz w:val="24"/>
          <w:szCs w:val="24"/>
        </w:rPr>
        <w:t>etabliert werden</w:t>
      </w:r>
      <w:r w:rsidR="00ED2715" w:rsidRPr="001A6105">
        <w:rPr>
          <w:rFonts w:ascii="Trebuchet MS" w:hAnsi="Trebuchet MS"/>
          <w:sz w:val="24"/>
          <w:szCs w:val="24"/>
        </w:rPr>
        <w:t xml:space="preserve">. </w:t>
      </w:r>
    </w:p>
    <w:p w:rsidR="008738DE" w:rsidRPr="001A6105" w:rsidRDefault="00ED2715" w:rsidP="001A6105">
      <w:pPr>
        <w:spacing w:line="276" w:lineRule="auto"/>
        <w:jc w:val="both"/>
        <w:rPr>
          <w:rFonts w:ascii="Trebuchet MS" w:hAnsi="Trebuchet MS"/>
          <w:sz w:val="24"/>
          <w:szCs w:val="24"/>
        </w:rPr>
      </w:pPr>
      <w:r w:rsidRPr="001A6105">
        <w:rPr>
          <w:rFonts w:ascii="Trebuchet MS" w:hAnsi="Trebuchet MS"/>
          <w:sz w:val="24"/>
          <w:szCs w:val="24"/>
        </w:rPr>
        <w:t xml:space="preserve">Nach diesem Verfahren sollen </w:t>
      </w:r>
      <w:r w:rsidR="008738DE" w:rsidRPr="001A6105">
        <w:rPr>
          <w:rFonts w:ascii="Trebuchet MS" w:hAnsi="Trebuchet MS"/>
          <w:sz w:val="24"/>
          <w:szCs w:val="24"/>
        </w:rPr>
        <w:t>alle für die gemeinsame klinische Bewertung von Gesundheitstechnologien erforderlichen Informationen, Daten, Analysen und Nachweise vom Entwickler</w:t>
      </w:r>
      <w:r w:rsidRPr="001A6105">
        <w:rPr>
          <w:rFonts w:ascii="Trebuchet MS" w:hAnsi="Trebuchet MS"/>
          <w:sz w:val="24"/>
          <w:szCs w:val="24"/>
        </w:rPr>
        <w:t>/Unternehmen</w:t>
      </w:r>
      <w:r w:rsidR="008738DE" w:rsidRPr="001A6105">
        <w:rPr>
          <w:rFonts w:ascii="Trebuchet MS" w:hAnsi="Trebuchet MS"/>
          <w:sz w:val="24"/>
          <w:szCs w:val="24"/>
        </w:rPr>
        <w:t xml:space="preserve"> nur einmal auf Unionsebene vorgelegt werden.</w:t>
      </w:r>
      <w:r w:rsidRPr="001A6105">
        <w:rPr>
          <w:rFonts w:ascii="Trebuchet MS" w:hAnsi="Trebuchet MS"/>
          <w:sz w:val="24"/>
          <w:szCs w:val="24"/>
        </w:rPr>
        <w:br/>
      </w:r>
      <w:r w:rsidR="008738DE" w:rsidRPr="001A6105">
        <w:rPr>
          <w:rFonts w:ascii="Trebuchet MS" w:hAnsi="Trebuchet MS"/>
          <w:sz w:val="24"/>
          <w:szCs w:val="24"/>
        </w:rPr>
        <w:t>Dazu sollen gemeinsame Vorschriften und Methoden für die gemeinsame klinische Bewertung</w:t>
      </w:r>
      <w:r w:rsidR="000E0C79" w:rsidRPr="001A6105">
        <w:rPr>
          <w:rFonts w:ascii="Trebuchet MS" w:hAnsi="Trebuchet MS"/>
          <w:sz w:val="24"/>
          <w:szCs w:val="24"/>
        </w:rPr>
        <w:t xml:space="preserve"> von Arzneimitteln und Medizinprodukten </w:t>
      </w:r>
      <w:r w:rsidR="008738DE" w:rsidRPr="001A6105">
        <w:rPr>
          <w:rFonts w:ascii="Trebuchet MS" w:hAnsi="Trebuchet MS"/>
          <w:sz w:val="24"/>
          <w:szCs w:val="24"/>
        </w:rPr>
        <w:t>entwickelt werden</w:t>
      </w:r>
      <w:r w:rsidRPr="001A6105">
        <w:rPr>
          <w:rFonts w:ascii="Trebuchet MS" w:hAnsi="Trebuchet MS"/>
          <w:sz w:val="24"/>
          <w:szCs w:val="24"/>
        </w:rPr>
        <w:t>.</w:t>
      </w:r>
    </w:p>
    <w:p w:rsidR="008738DE" w:rsidRPr="001A6105" w:rsidRDefault="008738DE" w:rsidP="001A6105">
      <w:pPr>
        <w:spacing w:line="276" w:lineRule="auto"/>
        <w:jc w:val="both"/>
        <w:rPr>
          <w:rFonts w:ascii="Trebuchet MS" w:hAnsi="Trebuchet MS"/>
          <w:sz w:val="24"/>
          <w:szCs w:val="24"/>
        </w:rPr>
      </w:pPr>
      <w:r w:rsidRPr="001A6105">
        <w:rPr>
          <w:rFonts w:ascii="Trebuchet MS" w:hAnsi="Trebuchet MS"/>
          <w:sz w:val="24"/>
          <w:szCs w:val="24"/>
        </w:rPr>
        <w:t xml:space="preserve">Ist der Bericht der gemeinsamen klinischen Bewertung verfügbar, so sollte er Teil der Dokumentation sein, die den nationalen HTA-Prozess </w:t>
      </w:r>
      <w:r w:rsidR="000E0C79" w:rsidRPr="001A6105">
        <w:rPr>
          <w:rFonts w:ascii="Trebuchet MS" w:hAnsi="Trebuchet MS"/>
          <w:sz w:val="24"/>
          <w:szCs w:val="24"/>
        </w:rPr>
        <w:t xml:space="preserve">in den Mitgliedsstaaten der EU </w:t>
      </w:r>
      <w:r w:rsidRPr="001A6105">
        <w:rPr>
          <w:rFonts w:ascii="Trebuchet MS" w:hAnsi="Trebuchet MS"/>
          <w:sz w:val="24"/>
          <w:szCs w:val="24"/>
        </w:rPr>
        <w:t xml:space="preserve">unterstützt. Der wissenschaftliche Inhalt des Berichts soll jedoch für die Behörden oder Stellen </w:t>
      </w:r>
      <w:r w:rsidR="000E0C79" w:rsidRPr="001A6105">
        <w:rPr>
          <w:rFonts w:ascii="Trebuchet MS" w:hAnsi="Trebuchet MS"/>
          <w:sz w:val="24"/>
          <w:szCs w:val="24"/>
        </w:rPr>
        <w:t>der</w:t>
      </w:r>
      <w:r w:rsidRPr="001A6105">
        <w:rPr>
          <w:rFonts w:ascii="Trebuchet MS" w:hAnsi="Trebuchet MS"/>
          <w:sz w:val="24"/>
          <w:szCs w:val="24"/>
        </w:rPr>
        <w:t xml:space="preserve"> Mitglied</w:t>
      </w:r>
      <w:r w:rsidR="000E0C79" w:rsidRPr="001A6105">
        <w:rPr>
          <w:rFonts w:ascii="Trebuchet MS" w:hAnsi="Trebuchet MS"/>
          <w:sz w:val="24"/>
          <w:szCs w:val="24"/>
        </w:rPr>
        <w:t>s</w:t>
      </w:r>
      <w:r w:rsidRPr="001A6105">
        <w:rPr>
          <w:rFonts w:ascii="Trebuchet MS" w:hAnsi="Trebuchet MS"/>
          <w:sz w:val="24"/>
          <w:szCs w:val="24"/>
        </w:rPr>
        <w:t>staaten nicht verbindlich sein.</w:t>
      </w:r>
      <w:r w:rsidR="003A799F" w:rsidRPr="001A6105">
        <w:rPr>
          <w:rFonts w:ascii="Trebuchet MS" w:hAnsi="Trebuchet MS"/>
          <w:sz w:val="24"/>
          <w:szCs w:val="24"/>
        </w:rPr>
        <w:t xml:space="preserve"> In Deutschland findet der „nationale HTA-Prozess“ im Wege der Nutzenbewertung im Gemeinsamen Bundesausschuss (G-BA) statt.</w:t>
      </w:r>
    </w:p>
    <w:p w:rsidR="001A6105" w:rsidRPr="001A6105" w:rsidRDefault="001A6105" w:rsidP="001A6105">
      <w:pPr>
        <w:spacing w:line="276" w:lineRule="auto"/>
        <w:jc w:val="both"/>
        <w:rPr>
          <w:rFonts w:ascii="Trebuchet MS" w:hAnsi="Trebuchet MS"/>
          <w:sz w:val="24"/>
          <w:szCs w:val="24"/>
        </w:rPr>
      </w:pPr>
    </w:p>
    <w:p w:rsidR="008738DE" w:rsidRPr="001A6105" w:rsidRDefault="008738DE" w:rsidP="001A6105">
      <w:pPr>
        <w:pStyle w:val="Listenabsatz"/>
        <w:numPr>
          <w:ilvl w:val="0"/>
          <w:numId w:val="7"/>
        </w:numPr>
        <w:spacing w:line="276" w:lineRule="auto"/>
        <w:jc w:val="both"/>
        <w:rPr>
          <w:rFonts w:ascii="Trebuchet MS" w:hAnsi="Trebuchet MS"/>
          <w:b/>
          <w:sz w:val="24"/>
          <w:szCs w:val="24"/>
        </w:rPr>
      </w:pPr>
      <w:r w:rsidRPr="001A6105">
        <w:rPr>
          <w:rFonts w:ascii="Trebuchet MS" w:hAnsi="Trebuchet MS"/>
          <w:b/>
          <w:sz w:val="24"/>
          <w:szCs w:val="24"/>
        </w:rPr>
        <w:t xml:space="preserve">Welchen Zweck hat das </w:t>
      </w:r>
      <w:r w:rsidR="00ED2715" w:rsidRPr="001A6105">
        <w:rPr>
          <w:rFonts w:ascii="Trebuchet MS" w:hAnsi="Trebuchet MS"/>
          <w:b/>
          <w:sz w:val="24"/>
          <w:szCs w:val="24"/>
        </w:rPr>
        <w:t xml:space="preserve">EU-HTA </w:t>
      </w:r>
      <w:r w:rsidRPr="001A6105">
        <w:rPr>
          <w:rFonts w:ascii="Trebuchet MS" w:hAnsi="Trebuchet MS"/>
          <w:b/>
          <w:sz w:val="24"/>
          <w:szCs w:val="24"/>
        </w:rPr>
        <w:t>für die Mitgliedsstaaten</w:t>
      </w:r>
      <w:r w:rsidR="00ED2715" w:rsidRPr="001A6105">
        <w:rPr>
          <w:rFonts w:ascii="Trebuchet MS" w:hAnsi="Trebuchet MS"/>
          <w:b/>
          <w:sz w:val="24"/>
          <w:szCs w:val="24"/>
        </w:rPr>
        <w:t>?</w:t>
      </w:r>
    </w:p>
    <w:p w:rsidR="008738DE" w:rsidRPr="001A6105" w:rsidRDefault="008738DE" w:rsidP="001A6105">
      <w:pPr>
        <w:spacing w:line="276" w:lineRule="auto"/>
        <w:jc w:val="both"/>
        <w:rPr>
          <w:rFonts w:ascii="Trebuchet MS" w:hAnsi="Trebuchet MS"/>
          <w:sz w:val="24"/>
          <w:szCs w:val="24"/>
        </w:rPr>
      </w:pPr>
      <w:r w:rsidRPr="001A6105">
        <w:rPr>
          <w:rFonts w:ascii="Trebuchet MS" w:hAnsi="Trebuchet MS"/>
          <w:sz w:val="24"/>
          <w:szCs w:val="24"/>
        </w:rPr>
        <w:t xml:space="preserve">Die einzelnen Mitgliedsstaaten können </w:t>
      </w:r>
      <w:r w:rsidR="003A799F" w:rsidRPr="001A6105">
        <w:rPr>
          <w:rFonts w:ascii="Trebuchet MS" w:hAnsi="Trebuchet MS"/>
          <w:sz w:val="24"/>
          <w:szCs w:val="24"/>
        </w:rPr>
        <w:t>die</w:t>
      </w:r>
      <w:r w:rsidRPr="001A6105">
        <w:rPr>
          <w:rFonts w:ascii="Trebuchet MS" w:hAnsi="Trebuchet MS"/>
          <w:sz w:val="24"/>
          <w:szCs w:val="24"/>
        </w:rPr>
        <w:t xml:space="preserve"> Schlussfolgerungen </w:t>
      </w:r>
      <w:r w:rsidR="00DC23AE" w:rsidRPr="001A6105">
        <w:rPr>
          <w:rFonts w:ascii="Trebuchet MS" w:hAnsi="Trebuchet MS"/>
          <w:sz w:val="24"/>
          <w:szCs w:val="24"/>
        </w:rPr>
        <w:t xml:space="preserve">des EU-HTA-Berichts </w:t>
      </w:r>
      <w:r w:rsidRPr="001A6105">
        <w:rPr>
          <w:rFonts w:ascii="Trebuchet MS" w:hAnsi="Trebuchet MS"/>
          <w:sz w:val="24"/>
          <w:szCs w:val="24"/>
        </w:rPr>
        <w:t>über die relative Wirksamkeit einer Gesundheitstechnologie (auf europäischer Eb</w:t>
      </w:r>
      <w:r w:rsidR="00ED2715" w:rsidRPr="001A6105">
        <w:rPr>
          <w:rFonts w:ascii="Trebuchet MS" w:hAnsi="Trebuchet MS"/>
          <w:sz w:val="24"/>
          <w:szCs w:val="24"/>
        </w:rPr>
        <w:t>ene</w:t>
      </w:r>
      <w:r w:rsidRPr="001A6105">
        <w:rPr>
          <w:rFonts w:ascii="Trebuchet MS" w:hAnsi="Trebuchet MS"/>
          <w:sz w:val="24"/>
          <w:szCs w:val="24"/>
        </w:rPr>
        <w:t>)</w:t>
      </w:r>
      <w:r w:rsidR="003A799F" w:rsidRPr="001A6105">
        <w:rPr>
          <w:rFonts w:ascii="Trebuchet MS" w:hAnsi="Trebuchet MS"/>
          <w:sz w:val="24"/>
          <w:szCs w:val="24"/>
        </w:rPr>
        <w:t xml:space="preserve"> nutzen, um </w:t>
      </w:r>
      <w:r w:rsidRPr="001A6105">
        <w:rPr>
          <w:rFonts w:ascii="Trebuchet MS" w:hAnsi="Trebuchet MS"/>
          <w:sz w:val="24"/>
          <w:szCs w:val="24"/>
        </w:rPr>
        <w:t xml:space="preserve">Entscheidungen über den Einsatz einer Gesundheitstechnologie </w:t>
      </w:r>
      <w:r w:rsidR="00ED2715" w:rsidRPr="001A6105">
        <w:rPr>
          <w:rFonts w:ascii="Trebuchet MS" w:hAnsi="Trebuchet MS"/>
          <w:sz w:val="24"/>
          <w:szCs w:val="24"/>
        </w:rPr>
        <w:t xml:space="preserve">in ihrem </w:t>
      </w:r>
      <w:r w:rsidR="008C5595" w:rsidRPr="001A6105">
        <w:rPr>
          <w:rFonts w:ascii="Trebuchet MS" w:hAnsi="Trebuchet MS"/>
          <w:sz w:val="24"/>
          <w:szCs w:val="24"/>
        </w:rPr>
        <w:t xml:space="preserve">Land </w:t>
      </w:r>
      <w:r w:rsidR="003A799F" w:rsidRPr="001A6105">
        <w:rPr>
          <w:rFonts w:ascii="Trebuchet MS" w:hAnsi="Trebuchet MS"/>
          <w:sz w:val="24"/>
          <w:szCs w:val="24"/>
        </w:rPr>
        <w:t xml:space="preserve">zu </w:t>
      </w:r>
      <w:r w:rsidRPr="001A6105">
        <w:rPr>
          <w:rFonts w:ascii="Trebuchet MS" w:hAnsi="Trebuchet MS"/>
          <w:sz w:val="24"/>
          <w:szCs w:val="24"/>
        </w:rPr>
        <w:t>treffen.</w:t>
      </w:r>
    </w:p>
    <w:p w:rsidR="003A799F" w:rsidRPr="001A6105" w:rsidRDefault="008738DE" w:rsidP="001A6105">
      <w:pPr>
        <w:spacing w:line="276" w:lineRule="auto"/>
        <w:jc w:val="both"/>
        <w:rPr>
          <w:rFonts w:ascii="Trebuchet MS" w:hAnsi="Trebuchet MS"/>
          <w:sz w:val="24"/>
          <w:szCs w:val="24"/>
        </w:rPr>
      </w:pPr>
      <w:r w:rsidRPr="001A6105">
        <w:rPr>
          <w:rFonts w:ascii="Trebuchet MS" w:hAnsi="Trebuchet MS"/>
          <w:sz w:val="24"/>
          <w:szCs w:val="24"/>
        </w:rPr>
        <w:t xml:space="preserve">Die Zuständigkeit für Entscheidungen über die Preisgestaltung und Erstattung </w:t>
      </w:r>
      <w:r w:rsidR="003A799F" w:rsidRPr="001A6105">
        <w:rPr>
          <w:rFonts w:ascii="Trebuchet MS" w:hAnsi="Trebuchet MS"/>
          <w:sz w:val="24"/>
          <w:szCs w:val="24"/>
        </w:rPr>
        <w:t xml:space="preserve">der Gesundheitstechnologie </w:t>
      </w:r>
      <w:r w:rsidR="009E47A6" w:rsidRPr="001A6105">
        <w:rPr>
          <w:rFonts w:ascii="Trebuchet MS" w:hAnsi="Trebuchet MS"/>
          <w:sz w:val="24"/>
          <w:szCs w:val="24"/>
        </w:rPr>
        <w:t xml:space="preserve">bleibt </w:t>
      </w:r>
      <w:r w:rsidR="00470175" w:rsidRPr="001A6105">
        <w:rPr>
          <w:rFonts w:ascii="Trebuchet MS" w:hAnsi="Trebuchet MS"/>
          <w:sz w:val="24"/>
          <w:szCs w:val="24"/>
        </w:rPr>
        <w:t xml:space="preserve">aber </w:t>
      </w:r>
      <w:r w:rsidR="009E47A6" w:rsidRPr="001A6105">
        <w:rPr>
          <w:rFonts w:ascii="Trebuchet MS" w:hAnsi="Trebuchet MS"/>
          <w:sz w:val="24"/>
          <w:szCs w:val="24"/>
        </w:rPr>
        <w:t>weiterhin auf nationaler Ebene.</w:t>
      </w:r>
      <w:r w:rsidR="00CC4CEE" w:rsidRPr="001A6105">
        <w:rPr>
          <w:rFonts w:ascii="Trebuchet MS" w:hAnsi="Trebuchet MS"/>
          <w:sz w:val="24"/>
          <w:szCs w:val="24"/>
        </w:rPr>
        <w:t xml:space="preserve"> </w:t>
      </w:r>
    </w:p>
    <w:p w:rsidR="008738DE" w:rsidRPr="001A6105" w:rsidRDefault="001D0F24" w:rsidP="001A6105">
      <w:pPr>
        <w:spacing w:line="276" w:lineRule="auto"/>
        <w:jc w:val="both"/>
        <w:rPr>
          <w:rFonts w:ascii="Trebuchet MS" w:hAnsi="Trebuchet MS"/>
          <w:sz w:val="24"/>
          <w:szCs w:val="24"/>
        </w:rPr>
      </w:pPr>
      <w:r w:rsidRPr="001A6105">
        <w:rPr>
          <w:rFonts w:ascii="Trebuchet MS" w:hAnsi="Trebuchet MS"/>
          <w:sz w:val="24"/>
          <w:szCs w:val="24"/>
        </w:rPr>
        <w:t>Die einzelnen Mitglied</w:t>
      </w:r>
      <w:r w:rsidR="00B8074D">
        <w:rPr>
          <w:rFonts w:ascii="Trebuchet MS" w:hAnsi="Trebuchet MS"/>
          <w:sz w:val="24"/>
          <w:szCs w:val="24"/>
        </w:rPr>
        <w:t>s</w:t>
      </w:r>
      <w:r w:rsidRPr="001A6105">
        <w:rPr>
          <w:rFonts w:ascii="Trebuchet MS" w:hAnsi="Trebuchet MS"/>
          <w:sz w:val="24"/>
          <w:szCs w:val="24"/>
        </w:rPr>
        <w:t xml:space="preserve">staaten haben darüber hinaus die </w:t>
      </w:r>
      <w:r w:rsidR="008738DE" w:rsidRPr="001A6105">
        <w:rPr>
          <w:rFonts w:ascii="Trebuchet MS" w:hAnsi="Trebuchet MS"/>
          <w:sz w:val="24"/>
          <w:szCs w:val="24"/>
        </w:rPr>
        <w:t>Möglichkeit</w:t>
      </w:r>
      <w:r w:rsidR="00B8074D">
        <w:rPr>
          <w:rFonts w:ascii="Trebuchet MS" w:hAnsi="Trebuchet MS"/>
          <w:sz w:val="24"/>
          <w:szCs w:val="24"/>
        </w:rPr>
        <w:t>,</w:t>
      </w:r>
      <w:r w:rsidR="008738DE" w:rsidRPr="001A6105">
        <w:rPr>
          <w:rFonts w:ascii="Trebuchet MS" w:hAnsi="Trebuchet MS"/>
          <w:sz w:val="24"/>
          <w:szCs w:val="24"/>
        </w:rPr>
        <w:t xml:space="preserve"> ergänzende Bewertungen </w:t>
      </w:r>
      <w:r w:rsidR="00470175" w:rsidRPr="001A6105">
        <w:rPr>
          <w:rFonts w:ascii="Trebuchet MS" w:hAnsi="Trebuchet MS"/>
          <w:sz w:val="24"/>
          <w:szCs w:val="24"/>
        </w:rPr>
        <w:t xml:space="preserve">und </w:t>
      </w:r>
      <w:r w:rsidRPr="001A6105">
        <w:rPr>
          <w:rFonts w:ascii="Trebuchet MS" w:hAnsi="Trebuchet MS"/>
          <w:sz w:val="24"/>
          <w:szCs w:val="24"/>
        </w:rPr>
        <w:t>klinische</w:t>
      </w:r>
      <w:r w:rsidR="00470175" w:rsidRPr="001A6105">
        <w:rPr>
          <w:rFonts w:ascii="Trebuchet MS" w:hAnsi="Trebuchet MS"/>
          <w:sz w:val="24"/>
          <w:szCs w:val="24"/>
        </w:rPr>
        <w:t xml:space="preserve"> </w:t>
      </w:r>
      <w:r w:rsidRPr="001A6105">
        <w:rPr>
          <w:rFonts w:ascii="Trebuchet MS" w:hAnsi="Trebuchet MS"/>
          <w:sz w:val="24"/>
          <w:szCs w:val="24"/>
        </w:rPr>
        <w:t>Analysen vorzunehmen, die für</w:t>
      </w:r>
      <w:r w:rsidR="008738DE" w:rsidRPr="001A6105">
        <w:rPr>
          <w:rFonts w:ascii="Trebuchet MS" w:hAnsi="Trebuchet MS"/>
          <w:sz w:val="24"/>
          <w:szCs w:val="24"/>
        </w:rPr>
        <w:t xml:space="preserve"> den allgemeinen nationalen HTA-Prozess erforderlich</w:t>
      </w:r>
      <w:r w:rsidRPr="001A6105">
        <w:rPr>
          <w:rFonts w:ascii="Trebuchet MS" w:hAnsi="Trebuchet MS"/>
          <w:sz w:val="24"/>
          <w:szCs w:val="24"/>
        </w:rPr>
        <w:t xml:space="preserve"> sind und </w:t>
      </w:r>
      <w:r w:rsidR="008738DE" w:rsidRPr="001A6105">
        <w:rPr>
          <w:rFonts w:ascii="Trebuchet MS" w:hAnsi="Trebuchet MS"/>
          <w:sz w:val="24"/>
          <w:szCs w:val="24"/>
        </w:rPr>
        <w:t>nicht bereits Bestandteil des Berichts über die gemeinsame klinische Bewertung</w:t>
      </w:r>
      <w:r w:rsidR="008C5595" w:rsidRPr="001A6105">
        <w:rPr>
          <w:rFonts w:ascii="Trebuchet MS" w:hAnsi="Trebuchet MS"/>
          <w:sz w:val="24"/>
          <w:szCs w:val="24"/>
        </w:rPr>
        <w:t xml:space="preserve"> (EU-HTA)</w:t>
      </w:r>
      <w:r w:rsidR="008738DE" w:rsidRPr="001A6105">
        <w:rPr>
          <w:rFonts w:ascii="Trebuchet MS" w:hAnsi="Trebuchet MS"/>
          <w:sz w:val="24"/>
          <w:szCs w:val="24"/>
        </w:rPr>
        <w:t xml:space="preserve"> sind</w:t>
      </w:r>
      <w:r w:rsidRPr="001A6105">
        <w:rPr>
          <w:rFonts w:ascii="Trebuchet MS" w:hAnsi="Trebuchet MS"/>
          <w:sz w:val="24"/>
          <w:szCs w:val="24"/>
        </w:rPr>
        <w:t>. Sie können auch ei</w:t>
      </w:r>
      <w:r w:rsidR="008738DE" w:rsidRPr="001A6105">
        <w:rPr>
          <w:rFonts w:ascii="Trebuchet MS" w:hAnsi="Trebuchet MS"/>
          <w:sz w:val="24"/>
          <w:szCs w:val="24"/>
        </w:rPr>
        <w:t>ne andere Methode anwenden, wenn diese für den allgemeinen nationalen HTA-Prozess erforderlich ist</w:t>
      </w:r>
      <w:r w:rsidR="008C5595" w:rsidRPr="001A6105">
        <w:rPr>
          <w:rFonts w:ascii="Trebuchet MS" w:hAnsi="Trebuchet MS"/>
          <w:sz w:val="24"/>
          <w:szCs w:val="24"/>
        </w:rPr>
        <w:t>.</w:t>
      </w:r>
    </w:p>
    <w:p w:rsidR="008C5595" w:rsidRPr="001A6105" w:rsidRDefault="00470175" w:rsidP="001A6105">
      <w:pPr>
        <w:spacing w:line="276" w:lineRule="auto"/>
        <w:jc w:val="both"/>
        <w:rPr>
          <w:rFonts w:ascii="Trebuchet MS" w:hAnsi="Trebuchet MS"/>
          <w:sz w:val="24"/>
          <w:szCs w:val="24"/>
        </w:rPr>
      </w:pPr>
      <w:r w:rsidRPr="001A6105">
        <w:rPr>
          <w:rFonts w:ascii="Trebuchet MS" w:hAnsi="Trebuchet MS"/>
          <w:sz w:val="24"/>
          <w:szCs w:val="24"/>
        </w:rPr>
        <w:lastRenderedPageBreak/>
        <w:t>Die Mitgliedsstaaten können die Berichte des EU-HTA-Verfahrens aber auch vollständig zur Grundlage ihrer nationalen Entscheidungen machen, wenn sie das möchten.</w:t>
      </w:r>
    </w:p>
    <w:p w:rsidR="001A6105" w:rsidRPr="001A6105" w:rsidRDefault="001A6105" w:rsidP="001A6105">
      <w:pPr>
        <w:spacing w:line="276" w:lineRule="auto"/>
        <w:jc w:val="both"/>
        <w:rPr>
          <w:rFonts w:ascii="Trebuchet MS" w:hAnsi="Trebuchet MS"/>
          <w:sz w:val="24"/>
          <w:szCs w:val="24"/>
        </w:rPr>
      </w:pPr>
    </w:p>
    <w:p w:rsidR="008C5595" w:rsidRPr="001A6105" w:rsidRDefault="00470175" w:rsidP="001A6105">
      <w:pPr>
        <w:pStyle w:val="Listenabsatz"/>
        <w:numPr>
          <w:ilvl w:val="0"/>
          <w:numId w:val="7"/>
        </w:numPr>
        <w:spacing w:line="276" w:lineRule="auto"/>
        <w:jc w:val="both"/>
        <w:rPr>
          <w:rFonts w:ascii="Trebuchet MS" w:hAnsi="Trebuchet MS"/>
          <w:b/>
          <w:sz w:val="24"/>
          <w:szCs w:val="24"/>
        </w:rPr>
      </w:pPr>
      <w:r w:rsidRPr="001A6105">
        <w:rPr>
          <w:rFonts w:ascii="Trebuchet MS" w:hAnsi="Trebuchet MS"/>
          <w:b/>
          <w:sz w:val="24"/>
          <w:szCs w:val="24"/>
        </w:rPr>
        <w:t xml:space="preserve">Aufbau des </w:t>
      </w:r>
      <w:r w:rsidR="008C5595" w:rsidRPr="001A6105">
        <w:rPr>
          <w:rFonts w:ascii="Trebuchet MS" w:hAnsi="Trebuchet MS"/>
          <w:b/>
          <w:sz w:val="24"/>
          <w:szCs w:val="24"/>
        </w:rPr>
        <w:t xml:space="preserve">EU-HTA </w:t>
      </w:r>
      <w:r w:rsidRPr="001A6105">
        <w:rPr>
          <w:rFonts w:ascii="Trebuchet MS" w:hAnsi="Trebuchet MS"/>
          <w:b/>
          <w:sz w:val="24"/>
          <w:szCs w:val="24"/>
        </w:rPr>
        <w:t>Verfahrens</w:t>
      </w:r>
    </w:p>
    <w:p w:rsidR="00260A6A" w:rsidRPr="001A6105" w:rsidRDefault="00491D60" w:rsidP="001A6105">
      <w:pPr>
        <w:spacing w:line="276" w:lineRule="auto"/>
        <w:jc w:val="both"/>
        <w:rPr>
          <w:rFonts w:ascii="Trebuchet MS" w:hAnsi="Trebuchet MS"/>
          <w:sz w:val="24"/>
          <w:szCs w:val="24"/>
        </w:rPr>
      </w:pPr>
      <w:r w:rsidRPr="001A6105">
        <w:rPr>
          <w:rFonts w:ascii="Trebuchet MS" w:hAnsi="Trebuchet MS"/>
          <w:sz w:val="24"/>
          <w:szCs w:val="24"/>
        </w:rPr>
        <w:t>Aktuell finden die Vorbereitungen zu</w:t>
      </w:r>
      <w:r w:rsidR="00B8074D">
        <w:rPr>
          <w:rFonts w:ascii="Trebuchet MS" w:hAnsi="Trebuchet MS"/>
          <w:sz w:val="24"/>
          <w:szCs w:val="24"/>
        </w:rPr>
        <w:t>r</w:t>
      </w:r>
      <w:r w:rsidRPr="001A6105">
        <w:rPr>
          <w:rFonts w:ascii="Trebuchet MS" w:hAnsi="Trebuchet MS"/>
          <w:sz w:val="24"/>
          <w:szCs w:val="24"/>
        </w:rPr>
        <w:t xml:space="preserve"> Umsetzung des EU-HTA-Verfahrens statt. Eine wichtige Rolle spielt dabei die </w:t>
      </w:r>
      <w:r w:rsidR="001D0F24" w:rsidRPr="001A6105">
        <w:rPr>
          <w:rFonts w:ascii="Trebuchet MS" w:hAnsi="Trebuchet MS"/>
          <w:sz w:val="24"/>
          <w:szCs w:val="24"/>
        </w:rPr>
        <w:t>Koordi</w:t>
      </w:r>
      <w:r w:rsidR="00B8074D">
        <w:rPr>
          <w:rFonts w:ascii="Trebuchet MS" w:hAnsi="Trebuchet MS"/>
          <w:sz w:val="24"/>
          <w:szCs w:val="24"/>
        </w:rPr>
        <w:t>ni</w:t>
      </w:r>
      <w:r w:rsidR="001D0F24" w:rsidRPr="001A6105">
        <w:rPr>
          <w:rFonts w:ascii="Trebuchet MS" w:hAnsi="Trebuchet MS"/>
          <w:sz w:val="24"/>
          <w:szCs w:val="24"/>
        </w:rPr>
        <w:t>erungsgruppe</w:t>
      </w:r>
      <w:r w:rsidR="00AB4BB2" w:rsidRPr="001A6105">
        <w:rPr>
          <w:rFonts w:ascii="Trebuchet MS" w:hAnsi="Trebuchet MS"/>
          <w:sz w:val="24"/>
          <w:szCs w:val="24"/>
        </w:rPr>
        <w:t xml:space="preserve"> </w:t>
      </w:r>
      <w:r w:rsidRPr="001A6105">
        <w:rPr>
          <w:rFonts w:ascii="Trebuchet MS" w:hAnsi="Trebuchet MS"/>
          <w:sz w:val="24"/>
          <w:szCs w:val="24"/>
        </w:rPr>
        <w:t>der Mitgliedsstaaten.</w:t>
      </w:r>
    </w:p>
    <w:p w:rsidR="00AB4BB2" w:rsidRPr="001A6105" w:rsidRDefault="00260A6A" w:rsidP="001A6105">
      <w:pPr>
        <w:spacing w:line="276" w:lineRule="auto"/>
        <w:jc w:val="both"/>
        <w:rPr>
          <w:rFonts w:ascii="Trebuchet MS" w:hAnsi="Trebuchet MS"/>
          <w:sz w:val="24"/>
          <w:szCs w:val="24"/>
        </w:rPr>
      </w:pPr>
      <w:r w:rsidRPr="001A6105">
        <w:rPr>
          <w:rFonts w:ascii="Trebuchet MS" w:hAnsi="Trebuchet MS"/>
          <w:sz w:val="24"/>
          <w:szCs w:val="24"/>
        </w:rPr>
        <w:t>Jeder Mitgliedstaat ernennt sein Mitglied der Koordinierungsgruppe</w:t>
      </w:r>
      <w:r w:rsidR="006B31D0" w:rsidRPr="001A6105">
        <w:rPr>
          <w:rFonts w:ascii="Trebuchet MS" w:hAnsi="Trebuchet MS"/>
          <w:sz w:val="24"/>
          <w:szCs w:val="24"/>
        </w:rPr>
        <w:t xml:space="preserve"> </w:t>
      </w:r>
      <w:r w:rsidR="00AB4BB2" w:rsidRPr="001A6105">
        <w:rPr>
          <w:rFonts w:ascii="Trebuchet MS" w:hAnsi="Trebuchet MS"/>
          <w:sz w:val="24"/>
          <w:szCs w:val="24"/>
        </w:rPr>
        <w:t xml:space="preserve">1 </w:t>
      </w:r>
      <w:r w:rsidR="006B31D0" w:rsidRPr="001A6105">
        <w:rPr>
          <w:rFonts w:ascii="Trebuchet MS" w:hAnsi="Trebuchet MS"/>
          <w:sz w:val="24"/>
          <w:szCs w:val="24"/>
        </w:rPr>
        <w:t>adhoc oder auf Dauer</w:t>
      </w:r>
      <w:r w:rsidR="0059440C" w:rsidRPr="001A6105">
        <w:rPr>
          <w:rFonts w:ascii="Trebuchet MS" w:hAnsi="Trebuchet MS"/>
          <w:sz w:val="24"/>
          <w:szCs w:val="24"/>
        </w:rPr>
        <w:t>.</w:t>
      </w:r>
      <w:r w:rsidR="005400E9" w:rsidRPr="001A6105">
        <w:rPr>
          <w:rFonts w:ascii="Trebuchet MS" w:hAnsi="Trebuchet MS"/>
          <w:sz w:val="24"/>
          <w:szCs w:val="24"/>
        </w:rPr>
        <w:t xml:space="preserve"> Jeder Mitgliedstaat hat </w:t>
      </w:r>
      <w:r w:rsidR="006B31D0" w:rsidRPr="001A6105">
        <w:rPr>
          <w:rFonts w:ascii="Trebuchet MS" w:hAnsi="Trebuchet MS"/>
          <w:sz w:val="24"/>
          <w:szCs w:val="24"/>
        </w:rPr>
        <w:t xml:space="preserve">dafür </w:t>
      </w:r>
      <w:r w:rsidR="005400E9" w:rsidRPr="001A6105">
        <w:rPr>
          <w:rFonts w:ascii="Trebuchet MS" w:hAnsi="Trebuchet MS"/>
          <w:sz w:val="24"/>
          <w:szCs w:val="24"/>
        </w:rPr>
        <w:t>eine Stimme</w:t>
      </w:r>
      <w:r w:rsidR="006B31D0" w:rsidRPr="001A6105">
        <w:rPr>
          <w:rFonts w:ascii="Trebuchet MS" w:hAnsi="Trebuchet MS"/>
          <w:sz w:val="24"/>
          <w:szCs w:val="24"/>
        </w:rPr>
        <w:t xml:space="preserve">. In Deutschland </w:t>
      </w:r>
      <w:r w:rsidR="00331CC8" w:rsidRPr="001A6105">
        <w:rPr>
          <w:rFonts w:ascii="Trebuchet MS" w:hAnsi="Trebuchet MS"/>
          <w:sz w:val="24"/>
          <w:szCs w:val="24"/>
        </w:rPr>
        <w:t>sind</w:t>
      </w:r>
      <w:r w:rsidR="00AB4BB2" w:rsidRPr="001A6105">
        <w:rPr>
          <w:rFonts w:ascii="Trebuchet MS" w:hAnsi="Trebuchet MS"/>
          <w:sz w:val="24"/>
          <w:szCs w:val="24"/>
        </w:rPr>
        <w:t xml:space="preserve"> das </w:t>
      </w:r>
      <w:r w:rsidR="00B8074D">
        <w:rPr>
          <w:rFonts w:ascii="Trebuchet MS" w:hAnsi="Trebuchet MS"/>
          <w:sz w:val="24"/>
          <w:szCs w:val="24"/>
        </w:rPr>
        <w:t xml:space="preserve">das </w:t>
      </w:r>
      <w:r w:rsidR="00AB4BB2" w:rsidRPr="001A6105">
        <w:rPr>
          <w:rFonts w:ascii="Trebuchet MS" w:hAnsi="Trebuchet MS"/>
          <w:sz w:val="24"/>
          <w:szCs w:val="24"/>
        </w:rPr>
        <w:t>IQW</w:t>
      </w:r>
      <w:r w:rsidR="00907F79">
        <w:rPr>
          <w:rFonts w:ascii="Trebuchet MS" w:hAnsi="Trebuchet MS"/>
          <w:sz w:val="24"/>
          <w:szCs w:val="24"/>
        </w:rPr>
        <w:t>i</w:t>
      </w:r>
      <w:r w:rsidR="00AB4BB2" w:rsidRPr="001A6105">
        <w:rPr>
          <w:rFonts w:ascii="Trebuchet MS" w:hAnsi="Trebuchet MS"/>
          <w:sz w:val="24"/>
          <w:szCs w:val="24"/>
        </w:rPr>
        <w:t>G</w:t>
      </w:r>
      <w:r w:rsidR="008C5595" w:rsidRPr="001A6105">
        <w:rPr>
          <w:rFonts w:ascii="Trebuchet MS" w:hAnsi="Trebuchet MS"/>
          <w:sz w:val="24"/>
          <w:szCs w:val="24"/>
        </w:rPr>
        <w:t xml:space="preserve"> und </w:t>
      </w:r>
      <w:r w:rsidR="00B11309" w:rsidRPr="001A6105">
        <w:rPr>
          <w:rFonts w:ascii="Trebuchet MS" w:hAnsi="Trebuchet MS"/>
          <w:sz w:val="24"/>
          <w:szCs w:val="24"/>
        </w:rPr>
        <w:t>der G-BA</w:t>
      </w:r>
      <w:r w:rsidR="003E0D6B" w:rsidRPr="001A6105">
        <w:rPr>
          <w:rFonts w:ascii="Trebuchet MS" w:hAnsi="Trebuchet MS"/>
          <w:sz w:val="24"/>
          <w:szCs w:val="24"/>
        </w:rPr>
        <w:t xml:space="preserve"> sowie das </w:t>
      </w:r>
      <w:r w:rsidR="001A6105" w:rsidRPr="001A6105">
        <w:rPr>
          <w:rFonts w:ascii="Trebuchet MS" w:hAnsi="Trebuchet MS"/>
          <w:sz w:val="24"/>
          <w:szCs w:val="24"/>
        </w:rPr>
        <w:t>B</w:t>
      </w:r>
      <w:r w:rsidR="003E0D6B" w:rsidRPr="001A6105">
        <w:rPr>
          <w:rFonts w:ascii="Trebuchet MS" w:hAnsi="Trebuchet MS"/>
          <w:sz w:val="24"/>
          <w:szCs w:val="24"/>
        </w:rPr>
        <w:t>undesministerium für Gesundheit.</w:t>
      </w:r>
    </w:p>
    <w:p w:rsidR="00260A6A" w:rsidRPr="001A6105" w:rsidRDefault="00AB4BB2" w:rsidP="001A6105">
      <w:pPr>
        <w:spacing w:line="276" w:lineRule="auto"/>
        <w:jc w:val="both"/>
        <w:rPr>
          <w:rFonts w:ascii="Trebuchet MS" w:hAnsi="Trebuchet MS"/>
          <w:sz w:val="24"/>
          <w:szCs w:val="24"/>
        </w:rPr>
      </w:pPr>
      <w:r w:rsidRPr="001A6105">
        <w:rPr>
          <w:rFonts w:ascii="Trebuchet MS" w:hAnsi="Trebuchet MS"/>
          <w:sz w:val="24"/>
          <w:szCs w:val="24"/>
        </w:rPr>
        <w:t>Diese</w:t>
      </w:r>
      <w:r w:rsidR="0059440C" w:rsidRPr="001A6105">
        <w:rPr>
          <w:rFonts w:ascii="Trebuchet MS" w:hAnsi="Trebuchet MS"/>
          <w:sz w:val="24"/>
          <w:szCs w:val="24"/>
        </w:rPr>
        <w:t xml:space="preserve"> Koordinierungsgruppe</w:t>
      </w:r>
      <w:r w:rsidRPr="001A6105">
        <w:rPr>
          <w:rFonts w:ascii="Trebuchet MS" w:hAnsi="Trebuchet MS"/>
          <w:sz w:val="24"/>
          <w:szCs w:val="24"/>
        </w:rPr>
        <w:t xml:space="preserve"> benennt nationale oder regionale Behörden oder Stellen als Mitglieder für verschiedene Untergruppen wie </w:t>
      </w:r>
      <w:r w:rsidR="00260A6A" w:rsidRPr="001A6105">
        <w:rPr>
          <w:rFonts w:ascii="Trebuchet MS" w:hAnsi="Trebuchet MS"/>
          <w:sz w:val="24"/>
          <w:szCs w:val="24"/>
        </w:rPr>
        <w:t>Klinische Bewertungen</w:t>
      </w:r>
      <w:r w:rsidRPr="001A6105">
        <w:rPr>
          <w:rFonts w:ascii="Trebuchet MS" w:hAnsi="Trebuchet MS"/>
          <w:sz w:val="24"/>
          <w:szCs w:val="24"/>
        </w:rPr>
        <w:t xml:space="preserve">, </w:t>
      </w:r>
      <w:r w:rsidR="00260A6A" w:rsidRPr="001A6105">
        <w:rPr>
          <w:rFonts w:ascii="Trebuchet MS" w:hAnsi="Trebuchet MS"/>
          <w:sz w:val="24"/>
          <w:szCs w:val="24"/>
        </w:rPr>
        <w:t>Wissenschaftliche Beratungen</w:t>
      </w:r>
      <w:r w:rsidRPr="001A6105">
        <w:rPr>
          <w:rFonts w:ascii="Trebuchet MS" w:hAnsi="Trebuchet MS"/>
          <w:sz w:val="24"/>
          <w:szCs w:val="24"/>
        </w:rPr>
        <w:t xml:space="preserve">, </w:t>
      </w:r>
      <w:r w:rsidR="00260A6A" w:rsidRPr="001A6105">
        <w:rPr>
          <w:rFonts w:ascii="Trebuchet MS" w:hAnsi="Trebuchet MS"/>
          <w:sz w:val="24"/>
          <w:szCs w:val="24"/>
        </w:rPr>
        <w:t>Horizon Scanning</w:t>
      </w:r>
      <w:r w:rsidRPr="001A6105">
        <w:rPr>
          <w:rFonts w:ascii="Trebuchet MS" w:hAnsi="Trebuchet MS"/>
          <w:sz w:val="24"/>
          <w:szCs w:val="24"/>
        </w:rPr>
        <w:t xml:space="preserve"> sowie </w:t>
      </w:r>
      <w:r w:rsidR="00260A6A" w:rsidRPr="001A6105">
        <w:rPr>
          <w:rFonts w:ascii="Trebuchet MS" w:hAnsi="Trebuchet MS"/>
          <w:sz w:val="24"/>
          <w:szCs w:val="24"/>
        </w:rPr>
        <w:t>Methodische und verfahrenstechnische Leitfäden</w:t>
      </w:r>
      <w:r w:rsidRPr="001A6105">
        <w:rPr>
          <w:rFonts w:ascii="Trebuchet MS" w:hAnsi="Trebuchet MS"/>
          <w:sz w:val="24"/>
          <w:szCs w:val="24"/>
        </w:rPr>
        <w:t>. Hierbei sind Mehrfachbenennungen zulässig, jeder Mitglied</w:t>
      </w:r>
      <w:r w:rsidR="00B8074D">
        <w:rPr>
          <w:rFonts w:ascii="Trebuchet MS" w:hAnsi="Trebuchet MS"/>
          <w:sz w:val="24"/>
          <w:szCs w:val="24"/>
        </w:rPr>
        <w:t>s</w:t>
      </w:r>
      <w:r w:rsidRPr="001A6105">
        <w:rPr>
          <w:rFonts w:ascii="Trebuchet MS" w:hAnsi="Trebuchet MS"/>
          <w:sz w:val="24"/>
          <w:szCs w:val="24"/>
        </w:rPr>
        <w:t>staat hat aber nur eine Stimme.</w:t>
      </w:r>
    </w:p>
    <w:p w:rsidR="00260A6A" w:rsidRPr="001A6105" w:rsidRDefault="00491D60" w:rsidP="001A6105">
      <w:pPr>
        <w:spacing w:line="276" w:lineRule="auto"/>
        <w:jc w:val="both"/>
        <w:rPr>
          <w:rFonts w:ascii="Trebuchet MS" w:hAnsi="Trebuchet MS"/>
          <w:sz w:val="24"/>
          <w:szCs w:val="24"/>
        </w:rPr>
      </w:pPr>
      <w:r w:rsidRPr="001A6105">
        <w:rPr>
          <w:rFonts w:ascii="Trebuchet MS" w:hAnsi="Trebuchet MS"/>
          <w:sz w:val="24"/>
          <w:szCs w:val="24"/>
        </w:rPr>
        <w:t>Ist das EU-HTA-Verfahren einmal eingerichtet, dann legt d</w:t>
      </w:r>
      <w:r w:rsidR="00E61CC2" w:rsidRPr="001A6105">
        <w:rPr>
          <w:rFonts w:ascii="Trebuchet MS" w:hAnsi="Trebuchet MS"/>
          <w:sz w:val="24"/>
          <w:szCs w:val="24"/>
        </w:rPr>
        <w:t xml:space="preserve">ie Koordinierungsgruppe den Jahresarbeitsplan </w:t>
      </w:r>
      <w:r w:rsidR="00FB3F66" w:rsidRPr="001A6105">
        <w:rPr>
          <w:rFonts w:ascii="Trebuchet MS" w:hAnsi="Trebuchet MS"/>
          <w:sz w:val="24"/>
          <w:szCs w:val="24"/>
        </w:rPr>
        <w:t xml:space="preserve">für die gemeinsamen Bewertungen </w:t>
      </w:r>
      <w:r w:rsidR="00E61CC2" w:rsidRPr="001A6105">
        <w:rPr>
          <w:rFonts w:ascii="Trebuchet MS" w:hAnsi="Trebuchet MS"/>
          <w:sz w:val="24"/>
          <w:szCs w:val="24"/>
        </w:rPr>
        <w:t xml:space="preserve">fest und passt die Anzahl der </w:t>
      </w:r>
      <w:r w:rsidR="00B8074D">
        <w:rPr>
          <w:rFonts w:ascii="Trebuchet MS" w:hAnsi="Trebuchet MS"/>
          <w:sz w:val="24"/>
          <w:szCs w:val="24"/>
        </w:rPr>
        <w:t>k</w:t>
      </w:r>
      <w:r w:rsidR="00E61CC2" w:rsidRPr="001A6105">
        <w:rPr>
          <w:rFonts w:ascii="Trebuchet MS" w:hAnsi="Trebuchet MS"/>
          <w:sz w:val="24"/>
          <w:szCs w:val="24"/>
        </w:rPr>
        <w:t>linischen Bewertungen</w:t>
      </w:r>
      <w:r w:rsidR="00FB3F66" w:rsidRPr="001A6105">
        <w:rPr>
          <w:rFonts w:ascii="Trebuchet MS" w:hAnsi="Trebuchet MS"/>
          <w:sz w:val="24"/>
          <w:szCs w:val="24"/>
        </w:rPr>
        <w:t xml:space="preserve">, wissenschaftlichen </w:t>
      </w:r>
      <w:r w:rsidR="00E61CC2" w:rsidRPr="001A6105">
        <w:rPr>
          <w:rFonts w:ascii="Trebuchet MS" w:hAnsi="Trebuchet MS"/>
          <w:sz w:val="24"/>
          <w:szCs w:val="24"/>
        </w:rPr>
        <w:t>Beratungen</w:t>
      </w:r>
      <w:r w:rsidR="00FB3F66" w:rsidRPr="001A6105">
        <w:rPr>
          <w:rFonts w:ascii="Trebuchet MS" w:hAnsi="Trebuchet MS"/>
          <w:sz w:val="24"/>
          <w:szCs w:val="24"/>
        </w:rPr>
        <w:t xml:space="preserve"> und </w:t>
      </w:r>
      <w:r w:rsidR="00E61CC2" w:rsidRPr="001A6105">
        <w:rPr>
          <w:rFonts w:ascii="Trebuchet MS" w:hAnsi="Trebuchet MS"/>
          <w:sz w:val="24"/>
          <w:szCs w:val="24"/>
        </w:rPr>
        <w:t>Bewertungen in freiwilliger Zusammenarbeit</w:t>
      </w:r>
      <w:r w:rsidRPr="001A6105">
        <w:rPr>
          <w:rFonts w:ascii="Trebuchet MS" w:hAnsi="Trebuchet MS"/>
          <w:sz w:val="24"/>
          <w:szCs w:val="24"/>
        </w:rPr>
        <w:t xml:space="preserve"> an</w:t>
      </w:r>
      <w:r w:rsidR="00FB3F66" w:rsidRPr="001A6105">
        <w:rPr>
          <w:rFonts w:ascii="Trebuchet MS" w:hAnsi="Trebuchet MS"/>
          <w:sz w:val="24"/>
          <w:szCs w:val="24"/>
        </w:rPr>
        <w:t xml:space="preserve">. Die notwendigen Basisinformationen dazu bekommt sie </w:t>
      </w:r>
      <w:r w:rsidR="00B11309" w:rsidRPr="001A6105">
        <w:rPr>
          <w:rFonts w:ascii="Trebuchet MS" w:hAnsi="Trebuchet MS"/>
          <w:sz w:val="24"/>
          <w:szCs w:val="24"/>
        </w:rPr>
        <w:t xml:space="preserve">aus den </w:t>
      </w:r>
      <w:r w:rsidR="00E61CC2" w:rsidRPr="001A6105">
        <w:rPr>
          <w:rFonts w:ascii="Trebuchet MS" w:hAnsi="Trebuchet MS"/>
          <w:sz w:val="24"/>
          <w:szCs w:val="24"/>
        </w:rPr>
        <w:t>Zulassungsanträge</w:t>
      </w:r>
      <w:r w:rsidR="00FB3F66" w:rsidRPr="001A6105">
        <w:rPr>
          <w:rFonts w:ascii="Trebuchet MS" w:hAnsi="Trebuchet MS"/>
          <w:sz w:val="24"/>
          <w:szCs w:val="24"/>
        </w:rPr>
        <w:t>n</w:t>
      </w:r>
      <w:r w:rsidR="00ED582E" w:rsidRPr="001A6105">
        <w:rPr>
          <w:rFonts w:ascii="Trebuchet MS" w:hAnsi="Trebuchet MS"/>
          <w:sz w:val="24"/>
          <w:szCs w:val="24"/>
        </w:rPr>
        <w:t xml:space="preserve"> (</w:t>
      </w:r>
      <w:r w:rsidR="00B11309" w:rsidRPr="001A6105">
        <w:rPr>
          <w:rFonts w:ascii="Trebuchet MS" w:hAnsi="Trebuchet MS"/>
          <w:sz w:val="24"/>
          <w:szCs w:val="24"/>
        </w:rPr>
        <w:t>Europäische Arzneimittel-Agentur -</w:t>
      </w:r>
      <w:r w:rsidR="00ED582E" w:rsidRPr="001A6105">
        <w:rPr>
          <w:rFonts w:ascii="Trebuchet MS" w:hAnsi="Trebuchet MS"/>
          <w:sz w:val="24"/>
          <w:szCs w:val="24"/>
        </w:rPr>
        <w:t>EMA)</w:t>
      </w:r>
      <w:r w:rsidR="00FB3F66" w:rsidRPr="001A6105">
        <w:rPr>
          <w:rFonts w:ascii="Trebuchet MS" w:hAnsi="Trebuchet MS"/>
          <w:sz w:val="24"/>
          <w:szCs w:val="24"/>
        </w:rPr>
        <w:t>, de</w:t>
      </w:r>
      <w:r w:rsidR="00B8074D">
        <w:rPr>
          <w:rFonts w:ascii="Trebuchet MS" w:hAnsi="Trebuchet MS"/>
          <w:sz w:val="24"/>
          <w:szCs w:val="24"/>
        </w:rPr>
        <w:t>n</w:t>
      </w:r>
      <w:r w:rsidR="00FB3F66" w:rsidRPr="001A6105">
        <w:rPr>
          <w:rFonts w:ascii="Trebuchet MS" w:hAnsi="Trebuchet MS"/>
          <w:sz w:val="24"/>
          <w:szCs w:val="24"/>
        </w:rPr>
        <w:t xml:space="preserve"> </w:t>
      </w:r>
      <w:r w:rsidR="00E61CC2" w:rsidRPr="001A6105">
        <w:rPr>
          <w:rFonts w:ascii="Trebuchet MS" w:hAnsi="Trebuchet MS"/>
          <w:sz w:val="24"/>
          <w:szCs w:val="24"/>
        </w:rPr>
        <w:t>Horizon Scanning Expertengremien</w:t>
      </w:r>
      <w:r w:rsidR="00FB3F66" w:rsidRPr="001A6105">
        <w:rPr>
          <w:rFonts w:ascii="Trebuchet MS" w:hAnsi="Trebuchet MS"/>
          <w:sz w:val="24"/>
          <w:szCs w:val="24"/>
        </w:rPr>
        <w:t xml:space="preserve"> und dem </w:t>
      </w:r>
      <w:r w:rsidR="00E61CC2" w:rsidRPr="001A6105">
        <w:rPr>
          <w:rFonts w:ascii="Trebuchet MS" w:hAnsi="Trebuchet MS"/>
          <w:sz w:val="24"/>
          <w:szCs w:val="24"/>
        </w:rPr>
        <w:t xml:space="preserve">Netzwerk </w:t>
      </w:r>
      <w:r w:rsidR="00FB3F66" w:rsidRPr="001A6105">
        <w:rPr>
          <w:rFonts w:ascii="Trebuchet MS" w:hAnsi="Trebuchet MS"/>
          <w:sz w:val="24"/>
          <w:szCs w:val="24"/>
        </w:rPr>
        <w:t xml:space="preserve">der </w:t>
      </w:r>
      <w:r w:rsidR="00E61CC2" w:rsidRPr="001A6105">
        <w:rPr>
          <w:rFonts w:ascii="Trebuchet MS" w:hAnsi="Trebuchet MS"/>
          <w:sz w:val="24"/>
          <w:szCs w:val="24"/>
        </w:rPr>
        <w:t>Interessenträger</w:t>
      </w:r>
      <w:r w:rsidR="00FB3F66" w:rsidRPr="001A6105">
        <w:rPr>
          <w:rFonts w:ascii="Trebuchet MS" w:hAnsi="Trebuchet MS"/>
          <w:sz w:val="24"/>
          <w:szCs w:val="24"/>
        </w:rPr>
        <w:t>.</w:t>
      </w:r>
    </w:p>
    <w:p w:rsidR="001A6105" w:rsidRPr="001A6105" w:rsidRDefault="001A6105" w:rsidP="001A6105">
      <w:pPr>
        <w:spacing w:line="276" w:lineRule="auto"/>
        <w:jc w:val="both"/>
        <w:rPr>
          <w:rFonts w:ascii="Trebuchet MS" w:hAnsi="Trebuchet MS"/>
          <w:sz w:val="24"/>
          <w:szCs w:val="24"/>
        </w:rPr>
      </w:pPr>
    </w:p>
    <w:p w:rsidR="00AB4BB2" w:rsidRPr="001A6105" w:rsidRDefault="00AB4BB2" w:rsidP="001A6105">
      <w:pPr>
        <w:pStyle w:val="Listenabsatz"/>
        <w:numPr>
          <w:ilvl w:val="0"/>
          <w:numId w:val="7"/>
        </w:numPr>
        <w:spacing w:line="276" w:lineRule="auto"/>
        <w:jc w:val="both"/>
        <w:rPr>
          <w:rFonts w:ascii="Trebuchet MS" w:hAnsi="Trebuchet MS"/>
          <w:b/>
          <w:sz w:val="24"/>
          <w:szCs w:val="24"/>
        </w:rPr>
      </w:pPr>
      <w:r w:rsidRPr="001A6105">
        <w:rPr>
          <w:rFonts w:ascii="Trebuchet MS" w:hAnsi="Trebuchet MS"/>
          <w:b/>
          <w:sz w:val="24"/>
          <w:szCs w:val="24"/>
        </w:rPr>
        <w:t>Ablauf de</w:t>
      </w:r>
      <w:r w:rsidR="00ED582E" w:rsidRPr="001A6105">
        <w:rPr>
          <w:rFonts w:ascii="Trebuchet MS" w:hAnsi="Trebuchet MS"/>
          <w:b/>
          <w:sz w:val="24"/>
          <w:szCs w:val="24"/>
        </w:rPr>
        <w:t xml:space="preserve">s </w:t>
      </w:r>
      <w:r w:rsidRPr="001A6105">
        <w:rPr>
          <w:rFonts w:ascii="Trebuchet MS" w:hAnsi="Trebuchet MS"/>
          <w:b/>
          <w:sz w:val="24"/>
          <w:szCs w:val="24"/>
        </w:rPr>
        <w:t>Bewertung</w:t>
      </w:r>
      <w:r w:rsidR="00ED582E" w:rsidRPr="001A6105">
        <w:rPr>
          <w:rFonts w:ascii="Trebuchet MS" w:hAnsi="Trebuchet MS"/>
          <w:b/>
          <w:sz w:val="24"/>
          <w:szCs w:val="24"/>
        </w:rPr>
        <w:t>sverfahrens</w:t>
      </w:r>
    </w:p>
    <w:p w:rsidR="005F2A7D" w:rsidRPr="001A6105" w:rsidRDefault="00ED582E" w:rsidP="001A6105">
      <w:pPr>
        <w:spacing w:line="276" w:lineRule="auto"/>
        <w:jc w:val="both"/>
        <w:rPr>
          <w:rFonts w:ascii="Trebuchet MS" w:hAnsi="Trebuchet MS"/>
          <w:sz w:val="24"/>
          <w:szCs w:val="24"/>
        </w:rPr>
      </w:pPr>
      <w:r w:rsidRPr="001A6105">
        <w:rPr>
          <w:rFonts w:ascii="Trebuchet MS" w:hAnsi="Trebuchet MS"/>
          <w:sz w:val="24"/>
          <w:szCs w:val="24"/>
        </w:rPr>
        <w:t xml:space="preserve">Die </w:t>
      </w:r>
      <w:r w:rsidR="00260A6A" w:rsidRPr="001A6105">
        <w:rPr>
          <w:rFonts w:ascii="Trebuchet MS" w:hAnsi="Trebuchet MS"/>
          <w:sz w:val="24"/>
          <w:szCs w:val="24"/>
        </w:rPr>
        <w:t>Koordinierungsgruppe</w:t>
      </w:r>
      <w:r w:rsidRPr="001A6105">
        <w:rPr>
          <w:rFonts w:ascii="Trebuchet MS" w:hAnsi="Trebuchet MS"/>
          <w:sz w:val="24"/>
          <w:szCs w:val="24"/>
        </w:rPr>
        <w:t xml:space="preserve"> </w:t>
      </w:r>
      <w:r w:rsidR="00260A6A" w:rsidRPr="001A6105">
        <w:rPr>
          <w:rFonts w:ascii="Trebuchet MS" w:hAnsi="Trebuchet MS"/>
          <w:sz w:val="24"/>
          <w:szCs w:val="24"/>
        </w:rPr>
        <w:t xml:space="preserve">benennt </w:t>
      </w:r>
      <w:r w:rsidR="008C5595" w:rsidRPr="001A6105">
        <w:rPr>
          <w:rFonts w:ascii="Trebuchet MS" w:hAnsi="Trebuchet MS"/>
          <w:sz w:val="24"/>
          <w:szCs w:val="24"/>
        </w:rPr>
        <w:t xml:space="preserve">dann </w:t>
      </w:r>
      <w:r w:rsidR="00260A6A" w:rsidRPr="001A6105">
        <w:rPr>
          <w:rFonts w:ascii="Trebuchet MS" w:hAnsi="Trebuchet MS"/>
          <w:sz w:val="24"/>
          <w:szCs w:val="24"/>
        </w:rPr>
        <w:t>die jeweilige Untergruppe</w:t>
      </w:r>
      <w:r w:rsidRPr="001A6105">
        <w:rPr>
          <w:rFonts w:ascii="Trebuchet MS" w:hAnsi="Trebuchet MS"/>
          <w:sz w:val="24"/>
          <w:szCs w:val="24"/>
        </w:rPr>
        <w:t xml:space="preserve">, die die klinische Bewertung überwacht. Diese Untergruppe startet </w:t>
      </w:r>
      <w:r w:rsidR="008C5595" w:rsidRPr="001A6105">
        <w:rPr>
          <w:rFonts w:ascii="Trebuchet MS" w:hAnsi="Trebuchet MS"/>
          <w:sz w:val="24"/>
          <w:szCs w:val="24"/>
        </w:rPr>
        <w:t xml:space="preserve">daraufhin </w:t>
      </w:r>
      <w:r w:rsidRPr="001A6105">
        <w:rPr>
          <w:rFonts w:ascii="Trebuchet MS" w:hAnsi="Trebuchet MS"/>
          <w:sz w:val="24"/>
          <w:szCs w:val="24"/>
        </w:rPr>
        <w:t>das Bewertungsverfahren</w:t>
      </w:r>
      <w:r w:rsidR="00491D60" w:rsidRPr="001A6105">
        <w:rPr>
          <w:rFonts w:ascii="Trebuchet MS" w:hAnsi="Trebuchet MS"/>
          <w:sz w:val="24"/>
          <w:szCs w:val="24"/>
        </w:rPr>
        <w:t>.</w:t>
      </w:r>
    </w:p>
    <w:p w:rsidR="00491D60" w:rsidRPr="001A6105" w:rsidRDefault="00491D60" w:rsidP="001A6105">
      <w:pPr>
        <w:spacing w:line="276" w:lineRule="auto"/>
        <w:jc w:val="both"/>
        <w:rPr>
          <w:rFonts w:ascii="Trebuchet MS" w:hAnsi="Trebuchet MS"/>
          <w:sz w:val="24"/>
          <w:szCs w:val="24"/>
        </w:rPr>
      </w:pPr>
      <w:r w:rsidRPr="001A6105">
        <w:rPr>
          <w:rFonts w:ascii="Trebuchet MS" w:hAnsi="Trebuchet MS"/>
          <w:sz w:val="24"/>
          <w:szCs w:val="24"/>
        </w:rPr>
        <w:t xml:space="preserve">Das </w:t>
      </w:r>
      <w:r w:rsidR="00B8074D">
        <w:rPr>
          <w:rFonts w:ascii="Trebuchet MS" w:hAnsi="Trebuchet MS"/>
          <w:sz w:val="24"/>
          <w:szCs w:val="24"/>
        </w:rPr>
        <w:t>B</w:t>
      </w:r>
      <w:r w:rsidRPr="001A6105">
        <w:rPr>
          <w:rFonts w:ascii="Trebuchet MS" w:hAnsi="Trebuchet MS"/>
          <w:sz w:val="24"/>
          <w:szCs w:val="24"/>
        </w:rPr>
        <w:t>ewertungsverfahren gliedert sich in 5 Abschnitte:</w:t>
      </w:r>
    </w:p>
    <w:p w:rsidR="00266141" w:rsidRPr="001A6105" w:rsidRDefault="00491D60" w:rsidP="001A6105">
      <w:pPr>
        <w:pStyle w:val="Listenabsatz"/>
        <w:numPr>
          <w:ilvl w:val="0"/>
          <w:numId w:val="1"/>
        </w:numPr>
        <w:spacing w:line="276" w:lineRule="auto"/>
        <w:jc w:val="both"/>
        <w:rPr>
          <w:rFonts w:ascii="Trebuchet MS" w:hAnsi="Trebuchet MS"/>
          <w:sz w:val="24"/>
          <w:szCs w:val="24"/>
        </w:rPr>
      </w:pPr>
      <w:r w:rsidRPr="001A6105">
        <w:rPr>
          <w:rFonts w:ascii="Trebuchet MS" w:hAnsi="Trebuchet MS"/>
          <w:sz w:val="24"/>
          <w:szCs w:val="24"/>
        </w:rPr>
        <w:t>Nationale PICO Festlegung</w:t>
      </w:r>
    </w:p>
    <w:p w:rsidR="00491D60" w:rsidRPr="001A6105" w:rsidRDefault="00491D60" w:rsidP="001A6105">
      <w:pPr>
        <w:pStyle w:val="Listenabsatz"/>
        <w:numPr>
          <w:ilvl w:val="0"/>
          <w:numId w:val="1"/>
        </w:numPr>
        <w:spacing w:line="276" w:lineRule="auto"/>
        <w:jc w:val="both"/>
        <w:rPr>
          <w:rFonts w:ascii="Trebuchet MS" w:hAnsi="Trebuchet MS"/>
          <w:sz w:val="24"/>
          <w:szCs w:val="24"/>
        </w:rPr>
      </w:pPr>
      <w:r w:rsidRPr="001A6105">
        <w:rPr>
          <w:rFonts w:ascii="Trebuchet MS" w:hAnsi="Trebuchet MS"/>
          <w:sz w:val="24"/>
          <w:szCs w:val="24"/>
        </w:rPr>
        <w:t>PICO Konsolidierung</w:t>
      </w:r>
    </w:p>
    <w:p w:rsidR="00C244D5" w:rsidRPr="001A6105" w:rsidRDefault="00C244D5" w:rsidP="001A6105">
      <w:pPr>
        <w:pStyle w:val="Listenabsatz"/>
        <w:numPr>
          <w:ilvl w:val="0"/>
          <w:numId w:val="1"/>
        </w:numPr>
        <w:spacing w:line="276" w:lineRule="auto"/>
        <w:jc w:val="both"/>
        <w:rPr>
          <w:rFonts w:ascii="Trebuchet MS" w:hAnsi="Trebuchet MS"/>
          <w:sz w:val="24"/>
          <w:szCs w:val="24"/>
        </w:rPr>
      </w:pPr>
      <w:r w:rsidRPr="001A6105">
        <w:rPr>
          <w:rFonts w:ascii="Trebuchet MS" w:hAnsi="Trebuchet MS"/>
          <w:sz w:val="24"/>
          <w:szCs w:val="24"/>
        </w:rPr>
        <w:t>Asses</w:t>
      </w:r>
      <w:r w:rsidR="003B5D70" w:rsidRPr="001A6105">
        <w:rPr>
          <w:rFonts w:ascii="Trebuchet MS" w:hAnsi="Trebuchet MS"/>
          <w:sz w:val="24"/>
          <w:szCs w:val="24"/>
        </w:rPr>
        <w:t>s</w:t>
      </w:r>
      <w:r w:rsidRPr="001A6105">
        <w:rPr>
          <w:rFonts w:ascii="Trebuchet MS" w:hAnsi="Trebuchet MS"/>
          <w:sz w:val="24"/>
          <w:szCs w:val="24"/>
        </w:rPr>
        <w:t>ment</w:t>
      </w:r>
    </w:p>
    <w:p w:rsidR="00C244D5" w:rsidRPr="001A6105" w:rsidRDefault="00C244D5" w:rsidP="001A6105">
      <w:pPr>
        <w:pStyle w:val="Listenabsatz"/>
        <w:numPr>
          <w:ilvl w:val="0"/>
          <w:numId w:val="1"/>
        </w:numPr>
        <w:spacing w:line="276" w:lineRule="auto"/>
        <w:jc w:val="both"/>
        <w:rPr>
          <w:rFonts w:ascii="Trebuchet MS" w:hAnsi="Trebuchet MS"/>
          <w:sz w:val="24"/>
          <w:szCs w:val="24"/>
        </w:rPr>
      </w:pPr>
      <w:r w:rsidRPr="001A6105">
        <w:rPr>
          <w:rFonts w:ascii="Trebuchet MS" w:hAnsi="Trebuchet MS"/>
          <w:sz w:val="24"/>
          <w:szCs w:val="24"/>
        </w:rPr>
        <w:t>Berichterstellung</w:t>
      </w:r>
      <w:r w:rsidR="003B5D70" w:rsidRPr="001A6105">
        <w:rPr>
          <w:rFonts w:ascii="Trebuchet MS" w:hAnsi="Trebuchet MS"/>
          <w:sz w:val="24"/>
          <w:szCs w:val="24"/>
        </w:rPr>
        <w:t xml:space="preserve"> </w:t>
      </w:r>
      <w:r w:rsidRPr="001A6105">
        <w:rPr>
          <w:rFonts w:ascii="Trebuchet MS" w:hAnsi="Trebuchet MS"/>
          <w:sz w:val="24"/>
          <w:szCs w:val="24"/>
        </w:rPr>
        <w:t xml:space="preserve">und </w:t>
      </w:r>
      <w:r w:rsidR="003B5D70" w:rsidRPr="001A6105">
        <w:rPr>
          <w:rFonts w:ascii="Trebuchet MS" w:hAnsi="Trebuchet MS"/>
          <w:sz w:val="24"/>
          <w:szCs w:val="24"/>
        </w:rPr>
        <w:t>-veröffentlichung</w:t>
      </w:r>
    </w:p>
    <w:p w:rsidR="003B5D70" w:rsidRPr="001A6105" w:rsidRDefault="003B5D70" w:rsidP="001A6105">
      <w:pPr>
        <w:pStyle w:val="Listenabsatz"/>
        <w:numPr>
          <w:ilvl w:val="0"/>
          <w:numId w:val="1"/>
        </w:numPr>
        <w:spacing w:line="276" w:lineRule="auto"/>
        <w:jc w:val="both"/>
        <w:rPr>
          <w:rFonts w:ascii="Trebuchet MS" w:hAnsi="Trebuchet MS"/>
          <w:sz w:val="24"/>
          <w:szCs w:val="24"/>
        </w:rPr>
      </w:pPr>
      <w:r w:rsidRPr="001A6105">
        <w:rPr>
          <w:rFonts w:ascii="Trebuchet MS" w:hAnsi="Trebuchet MS"/>
          <w:sz w:val="24"/>
          <w:szCs w:val="24"/>
        </w:rPr>
        <w:t>Nutzung des Berichts in den Mitgliedsstaaten</w:t>
      </w:r>
    </w:p>
    <w:p w:rsidR="003E0D6B" w:rsidRPr="001A6105" w:rsidRDefault="003E0D6B" w:rsidP="001A6105">
      <w:pPr>
        <w:spacing w:line="276" w:lineRule="auto"/>
        <w:jc w:val="both"/>
        <w:rPr>
          <w:rFonts w:ascii="Trebuchet MS" w:hAnsi="Trebuchet MS"/>
          <w:sz w:val="24"/>
          <w:szCs w:val="24"/>
        </w:rPr>
      </w:pPr>
      <w:r w:rsidRPr="001A6105">
        <w:rPr>
          <w:rFonts w:ascii="Trebuchet MS" w:hAnsi="Trebuchet MS"/>
          <w:sz w:val="24"/>
          <w:szCs w:val="24"/>
        </w:rPr>
        <w:t>D</w:t>
      </w:r>
      <w:r w:rsidR="00B8074D">
        <w:rPr>
          <w:rFonts w:ascii="Trebuchet MS" w:hAnsi="Trebuchet MS"/>
          <w:sz w:val="24"/>
          <w:szCs w:val="24"/>
        </w:rPr>
        <w:t>ie</w:t>
      </w:r>
      <w:r w:rsidRPr="001A6105">
        <w:rPr>
          <w:rFonts w:ascii="Trebuchet MS" w:hAnsi="Trebuchet MS"/>
          <w:sz w:val="24"/>
          <w:szCs w:val="24"/>
        </w:rPr>
        <w:t xml:space="preserve"> gesamten Verfahrensabschnitte werden noch gesondert erläutert (vgl.</w:t>
      </w:r>
      <w:r w:rsidR="0099299C" w:rsidRPr="001A6105">
        <w:rPr>
          <w:rFonts w:ascii="Trebuchet MS" w:hAnsi="Trebuchet MS"/>
          <w:sz w:val="24"/>
          <w:szCs w:val="24"/>
        </w:rPr>
        <w:t xml:space="preserve"> Kapitel II)</w:t>
      </w:r>
    </w:p>
    <w:p w:rsidR="00306FB0" w:rsidRDefault="00306FB0" w:rsidP="004B58C5">
      <w:pPr>
        <w:spacing w:line="276" w:lineRule="auto"/>
        <w:jc w:val="both"/>
        <w:rPr>
          <w:rFonts w:ascii="Trebuchet MS" w:hAnsi="Trebuchet MS"/>
          <w:b/>
          <w:sz w:val="24"/>
          <w:szCs w:val="24"/>
        </w:rPr>
      </w:pPr>
    </w:p>
    <w:p w:rsidR="004B58C5" w:rsidRDefault="004B58C5" w:rsidP="004B58C5">
      <w:pPr>
        <w:spacing w:line="276" w:lineRule="auto"/>
        <w:jc w:val="both"/>
        <w:rPr>
          <w:rFonts w:ascii="Trebuchet MS" w:hAnsi="Trebuchet MS"/>
          <w:b/>
          <w:sz w:val="24"/>
          <w:szCs w:val="24"/>
        </w:rPr>
      </w:pPr>
    </w:p>
    <w:p w:rsidR="004B58C5" w:rsidRPr="004B58C5" w:rsidRDefault="004B58C5" w:rsidP="004B58C5">
      <w:pPr>
        <w:spacing w:line="276" w:lineRule="auto"/>
        <w:jc w:val="both"/>
        <w:rPr>
          <w:rFonts w:ascii="Trebuchet MS" w:hAnsi="Trebuchet MS"/>
          <w:b/>
          <w:sz w:val="24"/>
          <w:szCs w:val="24"/>
        </w:rPr>
      </w:pPr>
    </w:p>
    <w:p w:rsidR="003B5D70" w:rsidRPr="001A6105" w:rsidRDefault="003B5D70" w:rsidP="001A6105">
      <w:pPr>
        <w:pStyle w:val="Listenabsatz"/>
        <w:numPr>
          <w:ilvl w:val="0"/>
          <w:numId w:val="7"/>
        </w:numPr>
        <w:spacing w:line="276" w:lineRule="auto"/>
        <w:jc w:val="both"/>
        <w:rPr>
          <w:rFonts w:ascii="Trebuchet MS" w:hAnsi="Trebuchet MS"/>
          <w:b/>
          <w:sz w:val="24"/>
          <w:szCs w:val="24"/>
        </w:rPr>
      </w:pPr>
      <w:r w:rsidRPr="001A6105">
        <w:rPr>
          <w:rFonts w:ascii="Trebuchet MS" w:hAnsi="Trebuchet MS"/>
          <w:b/>
          <w:sz w:val="24"/>
          <w:szCs w:val="24"/>
        </w:rPr>
        <w:lastRenderedPageBreak/>
        <w:t>Unterschied Bewertungsverfahren und Konsultationsverfahren</w:t>
      </w:r>
    </w:p>
    <w:p w:rsidR="00604FCD" w:rsidRPr="001A6105" w:rsidRDefault="00604FCD" w:rsidP="001A6105">
      <w:pPr>
        <w:spacing w:line="276" w:lineRule="auto"/>
        <w:jc w:val="both"/>
        <w:rPr>
          <w:rFonts w:ascii="Trebuchet MS" w:hAnsi="Trebuchet MS"/>
          <w:sz w:val="24"/>
          <w:szCs w:val="24"/>
        </w:rPr>
      </w:pPr>
      <w:r w:rsidRPr="001A6105">
        <w:rPr>
          <w:rFonts w:ascii="Trebuchet MS" w:hAnsi="Trebuchet MS"/>
          <w:sz w:val="24"/>
          <w:szCs w:val="24"/>
        </w:rPr>
        <w:t>Vom Bewertungsverfahren ist das Konsultationsverfahren zu unterscheiden. Gegenstand des Bewertungsverfahrens sind die Studien, die das jeweilige Unternehmen einreicht</w:t>
      </w:r>
      <w:r w:rsidR="0030718E" w:rsidRPr="001A6105">
        <w:rPr>
          <w:rFonts w:ascii="Trebuchet MS" w:hAnsi="Trebuchet MS"/>
          <w:sz w:val="24"/>
          <w:szCs w:val="24"/>
        </w:rPr>
        <w:t xml:space="preserve">, um den </w:t>
      </w:r>
      <w:r w:rsidR="00B8074D">
        <w:rPr>
          <w:rFonts w:ascii="Trebuchet MS" w:hAnsi="Trebuchet MS"/>
          <w:sz w:val="24"/>
          <w:szCs w:val="24"/>
        </w:rPr>
        <w:t>Z</w:t>
      </w:r>
      <w:r w:rsidR="0030718E" w:rsidRPr="001A6105">
        <w:rPr>
          <w:rFonts w:ascii="Trebuchet MS" w:hAnsi="Trebuchet MS"/>
          <w:sz w:val="24"/>
          <w:szCs w:val="24"/>
        </w:rPr>
        <w:t>usatznutzen der neuen Gesundheitstechnologie nachzuweisen</w:t>
      </w:r>
      <w:r w:rsidRPr="001A6105">
        <w:rPr>
          <w:rFonts w:ascii="Trebuchet MS" w:hAnsi="Trebuchet MS"/>
          <w:sz w:val="24"/>
          <w:szCs w:val="24"/>
        </w:rPr>
        <w:t xml:space="preserve">. Unter Umständen möchten aber Unternehmen bereits lange vor dem Bewertungsverfahren wissen, wie sie die Studien zum Nutzennachweis ihres Arzneimittels oder Medizinproduktes </w:t>
      </w:r>
      <w:r w:rsidR="0030718E" w:rsidRPr="001A6105">
        <w:rPr>
          <w:rFonts w:ascii="Trebuchet MS" w:hAnsi="Trebuchet MS"/>
          <w:sz w:val="24"/>
          <w:szCs w:val="24"/>
        </w:rPr>
        <w:t xml:space="preserve">denn </w:t>
      </w:r>
      <w:r w:rsidRPr="001A6105">
        <w:rPr>
          <w:rFonts w:ascii="Trebuchet MS" w:hAnsi="Trebuchet MS"/>
          <w:sz w:val="24"/>
          <w:szCs w:val="24"/>
        </w:rPr>
        <w:t xml:space="preserve">ausgestalten sollten, damit diese den Anforderungen des Bewertungsverfahrens am besten entsprechen. </w:t>
      </w:r>
    </w:p>
    <w:p w:rsidR="00604FCD" w:rsidRPr="001A6105" w:rsidRDefault="00604FCD" w:rsidP="001A6105">
      <w:pPr>
        <w:spacing w:line="276" w:lineRule="auto"/>
        <w:jc w:val="both"/>
        <w:rPr>
          <w:rFonts w:ascii="Trebuchet MS" w:hAnsi="Trebuchet MS"/>
          <w:sz w:val="24"/>
          <w:szCs w:val="24"/>
        </w:rPr>
      </w:pPr>
      <w:r w:rsidRPr="001A6105">
        <w:rPr>
          <w:rFonts w:ascii="Trebuchet MS" w:hAnsi="Trebuchet MS"/>
          <w:sz w:val="24"/>
          <w:szCs w:val="24"/>
        </w:rPr>
        <w:t xml:space="preserve">Hierzu können die Unternehmen eine Konsultation in Anspruch nehmen, in der die </w:t>
      </w:r>
      <w:proofErr w:type="spellStart"/>
      <w:r w:rsidRPr="001A6105">
        <w:rPr>
          <w:rFonts w:ascii="Trebuchet MS" w:hAnsi="Trebuchet MS"/>
          <w:sz w:val="24"/>
          <w:szCs w:val="24"/>
        </w:rPr>
        <w:t>PICO´s</w:t>
      </w:r>
      <w:proofErr w:type="spellEnd"/>
      <w:r w:rsidRPr="001A6105">
        <w:rPr>
          <w:rFonts w:ascii="Trebuchet MS" w:hAnsi="Trebuchet MS"/>
          <w:sz w:val="24"/>
          <w:szCs w:val="24"/>
        </w:rPr>
        <w:t xml:space="preserve"> natürlich auch eine wichtige Rolle spielen.</w:t>
      </w:r>
    </w:p>
    <w:p w:rsidR="0030718E" w:rsidRPr="001A6105" w:rsidRDefault="0030718E" w:rsidP="001A6105">
      <w:pPr>
        <w:spacing w:line="276" w:lineRule="auto"/>
        <w:jc w:val="both"/>
        <w:rPr>
          <w:rFonts w:ascii="Trebuchet MS" w:hAnsi="Trebuchet MS"/>
          <w:sz w:val="24"/>
          <w:szCs w:val="24"/>
        </w:rPr>
      </w:pPr>
      <w:r w:rsidRPr="001A6105">
        <w:rPr>
          <w:rFonts w:ascii="Trebuchet MS" w:hAnsi="Trebuchet MS"/>
          <w:sz w:val="24"/>
          <w:szCs w:val="24"/>
        </w:rPr>
        <w:t>Diese</w:t>
      </w:r>
      <w:r w:rsidR="00B8074D">
        <w:rPr>
          <w:rFonts w:ascii="Trebuchet MS" w:hAnsi="Trebuchet MS"/>
          <w:sz w:val="24"/>
          <w:szCs w:val="24"/>
        </w:rPr>
        <w:t>s</w:t>
      </w:r>
      <w:r w:rsidRPr="001A6105">
        <w:rPr>
          <w:rFonts w:ascii="Trebuchet MS" w:hAnsi="Trebuchet MS"/>
          <w:sz w:val="24"/>
          <w:szCs w:val="24"/>
        </w:rPr>
        <w:t xml:space="preserve"> </w:t>
      </w:r>
      <w:r w:rsidR="00AF75AE" w:rsidRPr="001A6105">
        <w:rPr>
          <w:rFonts w:ascii="Trebuchet MS" w:hAnsi="Trebuchet MS"/>
          <w:sz w:val="24"/>
          <w:szCs w:val="24"/>
        </w:rPr>
        <w:t>V</w:t>
      </w:r>
      <w:r w:rsidRPr="001A6105">
        <w:rPr>
          <w:rFonts w:ascii="Trebuchet MS" w:hAnsi="Trebuchet MS"/>
          <w:sz w:val="24"/>
          <w:szCs w:val="24"/>
        </w:rPr>
        <w:t>erfahren wird Konsultationsverfahren genannt.</w:t>
      </w:r>
    </w:p>
    <w:p w:rsidR="00076A9F" w:rsidRPr="001A6105" w:rsidRDefault="00076A9F" w:rsidP="001A6105">
      <w:pPr>
        <w:spacing w:line="276" w:lineRule="auto"/>
        <w:jc w:val="both"/>
        <w:rPr>
          <w:rFonts w:ascii="Trebuchet MS" w:hAnsi="Trebuchet MS"/>
          <w:sz w:val="24"/>
          <w:szCs w:val="24"/>
        </w:rPr>
      </w:pPr>
    </w:p>
    <w:p w:rsidR="00076A9F" w:rsidRPr="001A6105" w:rsidRDefault="00076A9F" w:rsidP="001A6105">
      <w:pPr>
        <w:pStyle w:val="Listenabsatz"/>
        <w:numPr>
          <w:ilvl w:val="0"/>
          <w:numId w:val="2"/>
        </w:numPr>
        <w:spacing w:after="0" w:line="276" w:lineRule="auto"/>
        <w:jc w:val="both"/>
        <w:rPr>
          <w:rFonts w:ascii="Trebuchet MS" w:hAnsi="Trebuchet MS"/>
          <w:b/>
          <w:sz w:val="28"/>
          <w:szCs w:val="24"/>
        </w:rPr>
      </w:pPr>
      <w:r w:rsidRPr="001A6105">
        <w:rPr>
          <w:rFonts w:ascii="Trebuchet MS" w:hAnsi="Trebuchet MS"/>
          <w:b/>
          <w:sz w:val="28"/>
          <w:szCs w:val="24"/>
        </w:rPr>
        <w:t>Was ist PICO - „Patient-Intervention-</w:t>
      </w:r>
      <w:proofErr w:type="spellStart"/>
      <w:r w:rsidRPr="001A6105">
        <w:rPr>
          <w:rFonts w:ascii="Trebuchet MS" w:hAnsi="Trebuchet MS"/>
          <w:b/>
          <w:sz w:val="28"/>
          <w:szCs w:val="24"/>
        </w:rPr>
        <w:t>Comparison</w:t>
      </w:r>
      <w:proofErr w:type="spellEnd"/>
      <w:r w:rsidRPr="001A6105">
        <w:rPr>
          <w:rFonts w:ascii="Trebuchet MS" w:hAnsi="Trebuchet MS"/>
          <w:b/>
          <w:sz w:val="28"/>
          <w:szCs w:val="24"/>
        </w:rPr>
        <w:t>-Outcome“</w:t>
      </w:r>
      <w:r w:rsidR="00B8074D">
        <w:rPr>
          <w:rFonts w:ascii="Trebuchet MS" w:hAnsi="Trebuchet MS"/>
          <w:b/>
          <w:sz w:val="28"/>
          <w:szCs w:val="24"/>
        </w:rPr>
        <w:t>?</w:t>
      </w:r>
    </w:p>
    <w:p w:rsidR="00076A9F" w:rsidRPr="001A6105" w:rsidRDefault="00076A9F" w:rsidP="001A6105">
      <w:pPr>
        <w:spacing w:after="0" w:line="276" w:lineRule="auto"/>
        <w:jc w:val="both"/>
        <w:rPr>
          <w:rFonts w:ascii="Trebuchet MS" w:hAnsi="Trebuchet MS"/>
          <w:b/>
          <w:sz w:val="24"/>
          <w:szCs w:val="24"/>
        </w:rPr>
      </w:pPr>
    </w:p>
    <w:p w:rsidR="00076A9F" w:rsidRPr="001A6105" w:rsidRDefault="00076A9F" w:rsidP="001A6105">
      <w:pPr>
        <w:spacing w:after="0" w:line="276" w:lineRule="auto"/>
        <w:jc w:val="both"/>
        <w:rPr>
          <w:rFonts w:ascii="Trebuchet MS" w:eastAsia="Times New Roman" w:hAnsi="Trebuchet MS" w:cs="Times New Roman"/>
          <w:sz w:val="24"/>
          <w:szCs w:val="24"/>
          <w:lang w:eastAsia="de-DE"/>
        </w:rPr>
      </w:pPr>
      <w:r w:rsidRPr="001A6105">
        <w:rPr>
          <w:rFonts w:ascii="Trebuchet MS" w:eastAsia="Times New Roman" w:hAnsi="Trebuchet MS" w:cs="Times New Roman"/>
          <w:sz w:val="24"/>
          <w:szCs w:val="24"/>
          <w:lang w:eastAsia="de-DE"/>
        </w:rPr>
        <w:t>Bei der Nutzenbewertung geht es um den Vergleich von Arzneimitteln bzw. Medizinprodukten untereinander. Um sagen zu können, was womit wozu verglichen wird, muss man wissen:</w:t>
      </w:r>
    </w:p>
    <w:p w:rsidR="00076A9F" w:rsidRPr="001A6105" w:rsidRDefault="00076A9F" w:rsidP="001A6105">
      <w:pPr>
        <w:spacing w:after="0" w:line="276" w:lineRule="auto"/>
        <w:ind w:left="567"/>
        <w:jc w:val="both"/>
        <w:rPr>
          <w:rFonts w:ascii="Trebuchet MS" w:eastAsia="Times New Roman" w:hAnsi="Trebuchet MS" w:cs="Times New Roman"/>
          <w:sz w:val="24"/>
          <w:szCs w:val="24"/>
          <w:lang w:eastAsia="de-DE"/>
        </w:rPr>
      </w:pPr>
    </w:p>
    <w:p w:rsidR="00076A9F" w:rsidRPr="001A6105" w:rsidRDefault="00076A9F" w:rsidP="001A6105">
      <w:pPr>
        <w:numPr>
          <w:ilvl w:val="0"/>
          <w:numId w:val="3"/>
        </w:numPr>
        <w:spacing w:after="0" w:line="276" w:lineRule="auto"/>
        <w:ind w:left="567"/>
        <w:jc w:val="both"/>
        <w:rPr>
          <w:rFonts w:ascii="Trebuchet MS" w:eastAsia="Times New Roman" w:hAnsi="Trebuchet MS" w:cs="Times New Roman"/>
          <w:sz w:val="24"/>
          <w:szCs w:val="24"/>
          <w:lang w:eastAsia="de-DE"/>
        </w:rPr>
      </w:pPr>
      <w:r w:rsidRPr="001A6105">
        <w:rPr>
          <w:rFonts w:ascii="Trebuchet MS" w:eastAsia="Times New Roman" w:hAnsi="Trebuchet MS" w:cs="Times New Roman"/>
          <w:sz w:val="24"/>
          <w:szCs w:val="24"/>
          <w:lang w:eastAsia="de-DE"/>
        </w:rPr>
        <w:t>Um welche Patientengruppe es gehen soll (P)</w:t>
      </w:r>
    </w:p>
    <w:p w:rsidR="00076A9F" w:rsidRPr="001A6105" w:rsidRDefault="00076A9F" w:rsidP="001A6105">
      <w:pPr>
        <w:numPr>
          <w:ilvl w:val="0"/>
          <w:numId w:val="3"/>
        </w:numPr>
        <w:spacing w:after="0" w:line="276" w:lineRule="auto"/>
        <w:ind w:left="567"/>
        <w:jc w:val="both"/>
        <w:rPr>
          <w:rFonts w:ascii="Trebuchet MS" w:eastAsia="Times New Roman" w:hAnsi="Trebuchet MS" w:cs="Times New Roman"/>
          <w:sz w:val="24"/>
          <w:szCs w:val="24"/>
          <w:lang w:eastAsia="de-DE"/>
        </w:rPr>
      </w:pPr>
      <w:r w:rsidRPr="001A6105">
        <w:rPr>
          <w:rFonts w:ascii="Trebuchet MS" w:eastAsia="Times New Roman" w:hAnsi="Trebuchet MS" w:cs="Times New Roman"/>
          <w:sz w:val="24"/>
          <w:szCs w:val="24"/>
          <w:lang w:eastAsia="de-DE"/>
        </w:rPr>
        <w:t>Um welches Produkt, welche Intervention es gehen soll (I)</w:t>
      </w:r>
    </w:p>
    <w:p w:rsidR="00076A9F" w:rsidRPr="001A6105" w:rsidRDefault="00076A9F" w:rsidP="001A6105">
      <w:pPr>
        <w:numPr>
          <w:ilvl w:val="0"/>
          <w:numId w:val="3"/>
        </w:numPr>
        <w:spacing w:after="0" w:line="276" w:lineRule="auto"/>
        <w:ind w:left="567"/>
        <w:jc w:val="both"/>
        <w:rPr>
          <w:rFonts w:ascii="Trebuchet MS" w:eastAsia="Times New Roman" w:hAnsi="Trebuchet MS" w:cs="Times New Roman"/>
          <w:sz w:val="24"/>
          <w:szCs w:val="24"/>
          <w:lang w:eastAsia="de-DE"/>
        </w:rPr>
      </w:pPr>
      <w:r w:rsidRPr="001A6105">
        <w:rPr>
          <w:rFonts w:ascii="Trebuchet MS" w:eastAsia="Times New Roman" w:hAnsi="Trebuchet MS" w:cs="Times New Roman"/>
          <w:sz w:val="24"/>
          <w:szCs w:val="24"/>
          <w:lang w:eastAsia="de-DE"/>
        </w:rPr>
        <w:t>Mit welchem Produkt das Produkt verglichen werden soll „</w:t>
      </w:r>
      <w:proofErr w:type="spellStart"/>
      <w:r w:rsidRPr="001A6105">
        <w:rPr>
          <w:rFonts w:ascii="Trebuchet MS" w:eastAsia="Times New Roman" w:hAnsi="Trebuchet MS" w:cs="Times New Roman"/>
          <w:sz w:val="24"/>
          <w:szCs w:val="24"/>
          <w:lang w:eastAsia="de-DE"/>
        </w:rPr>
        <w:t>Comparator</w:t>
      </w:r>
      <w:proofErr w:type="spellEnd"/>
      <w:r w:rsidRPr="001A6105">
        <w:rPr>
          <w:rFonts w:ascii="Trebuchet MS" w:eastAsia="Times New Roman" w:hAnsi="Trebuchet MS" w:cs="Times New Roman"/>
          <w:sz w:val="24"/>
          <w:szCs w:val="24"/>
          <w:lang w:eastAsia="de-DE"/>
        </w:rPr>
        <w:t>“</w:t>
      </w:r>
      <w:r w:rsidR="00F13768">
        <w:rPr>
          <w:rFonts w:ascii="Trebuchet MS" w:eastAsia="Times New Roman" w:hAnsi="Trebuchet MS" w:cs="Times New Roman"/>
          <w:sz w:val="24"/>
          <w:szCs w:val="24"/>
          <w:lang w:eastAsia="de-DE"/>
        </w:rPr>
        <w:t xml:space="preserve"> </w:t>
      </w:r>
      <w:r w:rsidRPr="001A6105">
        <w:rPr>
          <w:rFonts w:ascii="Trebuchet MS" w:eastAsia="Times New Roman" w:hAnsi="Trebuchet MS" w:cs="Times New Roman"/>
          <w:sz w:val="24"/>
          <w:szCs w:val="24"/>
          <w:lang w:eastAsia="de-DE"/>
        </w:rPr>
        <w:t>(C)</w:t>
      </w:r>
    </w:p>
    <w:p w:rsidR="00076A9F" w:rsidRPr="001A6105" w:rsidRDefault="00076A9F" w:rsidP="001A6105">
      <w:pPr>
        <w:numPr>
          <w:ilvl w:val="0"/>
          <w:numId w:val="3"/>
        </w:numPr>
        <w:spacing w:after="0" w:line="276" w:lineRule="auto"/>
        <w:ind w:left="567"/>
        <w:jc w:val="both"/>
        <w:rPr>
          <w:rFonts w:ascii="Trebuchet MS" w:eastAsia="Times New Roman" w:hAnsi="Trebuchet MS" w:cs="Times New Roman"/>
          <w:sz w:val="24"/>
          <w:szCs w:val="24"/>
          <w:lang w:eastAsia="de-DE"/>
        </w:rPr>
      </w:pPr>
      <w:r w:rsidRPr="001A6105">
        <w:rPr>
          <w:rFonts w:ascii="Trebuchet MS" w:eastAsia="Times New Roman" w:hAnsi="Trebuchet MS" w:cs="Times New Roman"/>
          <w:sz w:val="24"/>
          <w:szCs w:val="24"/>
          <w:lang w:eastAsia="de-DE"/>
        </w:rPr>
        <w:t>Welches Produkt im Vergleich welche Wirkung/Nebenwirkung gezeigt hat, „Outcome“ (O)</w:t>
      </w:r>
    </w:p>
    <w:p w:rsidR="00076A9F" w:rsidRPr="001A6105" w:rsidRDefault="00076A9F" w:rsidP="001A6105">
      <w:pPr>
        <w:spacing w:after="0" w:line="276" w:lineRule="auto"/>
        <w:jc w:val="both"/>
        <w:rPr>
          <w:rFonts w:ascii="Trebuchet MS" w:eastAsia="Times New Roman" w:hAnsi="Trebuchet MS" w:cs="Times New Roman"/>
          <w:sz w:val="24"/>
          <w:szCs w:val="24"/>
          <w:lang w:eastAsia="de-DE"/>
        </w:rPr>
      </w:pPr>
    </w:p>
    <w:p w:rsidR="00076A9F" w:rsidRPr="004C21AA" w:rsidRDefault="00076A9F" w:rsidP="004C21AA">
      <w:pPr>
        <w:spacing w:after="0" w:line="276" w:lineRule="auto"/>
        <w:jc w:val="both"/>
        <w:rPr>
          <w:rFonts w:ascii="Trebuchet MS" w:eastAsia="Times New Roman" w:hAnsi="Trebuchet MS" w:cs="Times New Roman"/>
          <w:sz w:val="24"/>
          <w:szCs w:val="24"/>
          <w:lang w:eastAsia="de-DE"/>
        </w:rPr>
      </w:pPr>
      <w:r w:rsidRPr="004C21AA">
        <w:rPr>
          <w:rFonts w:ascii="Trebuchet MS" w:eastAsia="Times New Roman" w:hAnsi="Trebuchet MS" w:cs="Times New Roman"/>
          <w:sz w:val="24"/>
          <w:szCs w:val="24"/>
          <w:lang w:eastAsia="de-DE"/>
        </w:rPr>
        <w:t xml:space="preserve">Da P, I, C und O nicht in jedem Mitgliedsstaat gleich sind, müssen mehrere Bewertungen gleichzeitig durchgeführt werden. Beispielsweise macht Deutschland nur eine Nutzenbewertung, andere Länder eine Kosten-Nutzenbewertung. Folglich beobachten andere Länder unter dem “Outcome“ auch Kostenfolgen, während in Deutschland die Kosten an dieser Stelle irrelevant sind. </w:t>
      </w:r>
    </w:p>
    <w:p w:rsidR="00076A9F" w:rsidRPr="004C21AA" w:rsidRDefault="00076A9F" w:rsidP="004C21AA">
      <w:pPr>
        <w:spacing w:after="0" w:line="276" w:lineRule="auto"/>
        <w:jc w:val="both"/>
        <w:rPr>
          <w:rFonts w:ascii="Trebuchet MS" w:eastAsia="Times New Roman" w:hAnsi="Trebuchet MS" w:cs="Times New Roman"/>
          <w:sz w:val="24"/>
          <w:szCs w:val="24"/>
          <w:lang w:eastAsia="de-DE"/>
        </w:rPr>
      </w:pPr>
    </w:p>
    <w:p w:rsidR="004C21AA" w:rsidRPr="00F22ED9" w:rsidRDefault="00F9129D" w:rsidP="004C21AA">
      <w:pPr>
        <w:spacing w:after="0" w:line="240" w:lineRule="auto"/>
        <w:jc w:val="both"/>
        <w:rPr>
          <w:rFonts w:ascii="Trebuchet MS" w:eastAsia="Times New Roman" w:hAnsi="Trebuchet MS" w:cs="Calibri"/>
          <w:sz w:val="24"/>
          <w:szCs w:val="24"/>
          <w:lang w:eastAsia="de-DE"/>
        </w:rPr>
      </w:pPr>
      <w:r w:rsidRPr="00F22ED9">
        <w:rPr>
          <w:rStyle w:val="xmarkedcontent"/>
          <w:rFonts w:ascii="Trebuchet MS" w:hAnsi="Trebuchet MS" w:cs="Arial"/>
          <w:sz w:val="24"/>
          <w:szCs w:val="24"/>
        </w:rPr>
        <w:t>Die verschiedenen Länder der EU können beim Erstellen ihrer PICO die</w:t>
      </w:r>
      <w:r w:rsidRPr="00F22ED9">
        <w:rPr>
          <w:rFonts w:ascii="Trebuchet MS" w:hAnsi="Trebuchet MS"/>
          <w:sz w:val="24"/>
          <w:szCs w:val="24"/>
        </w:rPr>
        <w:br/>
      </w:r>
      <w:r w:rsidRPr="00F22ED9">
        <w:rPr>
          <w:rStyle w:val="xmarkedcontent"/>
          <w:rFonts w:ascii="Trebuchet MS" w:hAnsi="Trebuchet MS" w:cs="Arial"/>
          <w:sz w:val="24"/>
          <w:szCs w:val="24"/>
        </w:rPr>
        <w:t>Patientenbeteiligung der nationalen Organisationen berücksichtigen.</w:t>
      </w:r>
      <w:r w:rsidRPr="00F22ED9">
        <w:rPr>
          <w:rFonts w:ascii="Trebuchet MS" w:hAnsi="Trebuchet MS"/>
          <w:sz w:val="24"/>
          <w:szCs w:val="24"/>
        </w:rPr>
        <w:br/>
      </w:r>
      <w:r w:rsidRPr="00F22ED9">
        <w:rPr>
          <w:rFonts w:ascii="Trebuchet MS" w:hAnsi="Trebuchet MS"/>
          <w:sz w:val="24"/>
          <w:szCs w:val="24"/>
        </w:rPr>
        <w:br/>
      </w:r>
      <w:r w:rsidRPr="00F22ED9">
        <w:rPr>
          <w:rStyle w:val="xmarkedcontent"/>
          <w:rFonts w:ascii="Trebuchet MS" w:hAnsi="Trebuchet MS" w:cs="Arial"/>
          <w:sz w:val="24"/>
          <w:szCs w:val="24"/>
        </w:rPr>
        <w:t>Zudem ist eine Beteiligung der europäischen Patientenorganisationen</w:t>
      </w:r>
      <w:r w:rsidRPr="00F22ED9">
        <w:rPr>
          <w:rFonts w:ascii="Trebuchet MS" w:hAnsi="Trebuchet MS"/>
          <w:sz w:val="24"/>
          <w:szCs w:val="24"/>
        </w:rPr>
        <w:br/>
      </w:r>
      <w:r w:rsidRPr="00F22ED9">
        <w:rPr>
          <w:rStyle w:val="xmarkedcontent"/>
          <w:rFonts w:ascii="Trebuchet MS" w:hAnsi="Trebuchet MS" w:cs="Arial"/>
          <w:sz w:val="24"/>
          <w:szCs w:val="24"/>
        </w:rPr>
        <w:t>vorgesehen. In der Phase der PICO-Konsolidierung und der Berichterstellung</w:t>
      </w:r>
      <w:r w:rsidRPr="00F22ED9">
        <w:rPr>
          <w:rFonts w:ascii="Trebuchet MS" w:hAnsi="Trebuchet MS"/>
          <w:sz w:val="24"/>
          <w:szCs w:val="24"/>
        </w:rPr>
        <w:br/>
      </w:r>
      <w:r w:rsidRPr="00F22ED9">
        <w:rPr>
          <w:rStyle w:val="xmarkedcontent"/>
          <w:rFonts w:ascii="Trebuchet MS" w:hAnsi="Trebuchet MS" w:cs="Arial"/>
          <w:sz w:val="24"/>
          <w:szCs w:val="24"/>
        </w:rPr>
        <w:t xml:space="preserve">ist bislang keine regelhafte Beteiligung von Patientenvertreter*Innen vorgesehen. </w:t>
      </w:r>
      <w:r w:rsidR="004C21AA" w:rsidRPr="00F22ED9">
        <w:rPr>
          <w:rFonts w:ascii="Trebuchet MS" w:eastAsia="Times New Roman" w:hAnsi="Trebuchet MS" w:cs="Calibri"/>
          <w:sz w:val="24"/>
          <w:szCs w:val="24"/>
          <w:lang w:eastAsia="de-DE"/>
        </w:rPr>
        <w:t>Die europäischen Patientenorganisationen sollen vielmehr einen öffentlichen Aufruf zur PICO-Benennung durchführen. Damit soll dem Umstand Rechnung getragen werden, dass es in vielen Ländern gar keine nationale Patientenvertretung gibt, die PICOs benennen könnte</w:t>
      </w:r>
    </w:p>
    <w:p w:rsidR="004C21AA" w:rsidRPr="00F22ED9" w:rsidRDefault="004C21AA" w:rsidP="004C21AA">
      <w:pPr>
        <w:spacing w:after="0" w:line="240" w:lineRule="auto"/>
        <w:jc w:val="both"/>
        <w:rPr>
          <w:rFonts w:ascii="Trebuchet MS" w:eastAsia="Times New Roman" w:hAnsi="Trebuchet MS" w:cs="Calibri"/>
          <w:sz w:val="24"/>
          <w:szCs w:val="24"/>
          <w:lang w:eastAsia="de-DE"/>
        </w:rPr>
      </w:pPr>
    </w:p>
    <w:p w:rsidR="008551C2" w:rsidRPr="00837680" w:rsidRDefault="00076A9F" w:rsidP="004C21AA">
      <w:pPr>
        <w:spacing w:after="0" w:line="240" w:lineRule="auto"/>
        <w:jc w:val="both"/>
        <w:rPr>
          <w:rFonts w:ascii="Trebuchet MS" w:eastAsia="Times New Roman" w:hAnsi="Trebuchet MS" w:cs="Calibri"/>
          <w:color w:val="000000"/>
          <w:sz w:val="24"/>
          <w:szCs w:val="24"/>
          <w:lang w:eastAsia="de-DE"/>
        </w:rPr>
      </w:pPr>
      <w:r w:rsidRPr="00F22ED9">
        <w:rPr>
          <w:rFonts w:ascii="Trebuchet MS" w:hAnsi="Trebuchet MS"/>
          <w:sz w:val="24"/>
          <w:szCs w:val="24"/>
        </w:rPr>
        <w:lastRenderedPageBreak/>
        <w:t>Die PICO</w:t>
      </w:r>
      <w:r w:rsidR="004C21AA" w:rsidRPr="00F22ED9">
        <w:rPr>
          <w:rFonts w:ascii="Trebuchet MS" w:hAnsi="Trebuchet MS"/>
          <w:sz w:val="24"/>
          <w:szCs w:val="24"/>
        </w:rPr>
        <w:t xml:space="preserve">- </w:t>
      </w:r>
      <w:r w:rsidR="00F22ED9" w:rsidRPr="00F22ED9">
        <w:rPr>
          <w:rFonts w:ascii="Trebuchet MS" w:hAnsi="Trebuchet MS"/>
          <w:sz w:val="24"/>
          <w:szCs w:val="24"/>
        </w:rPr>
        <w:t>Definition</w:t>
      </w:r>
      <w:r w:rsidR="004C21AA" w:rsidRPr="00F22ED9">
        <w:rPr>
          <w:rFonts w:ascii="Trebuchet MS" w:hAnsi="Trebuchet MS"/>
          <w:sz w:val="24"/>
          <w:szCs w:val="24"/>
        </w:rPr>
        <w:t xml:space="preserve"> findet in Deutschland </w:t>
      </w:r>
      <w:r w:rsidRPr="00F22ED9">
        <w:rPr>
          <w:rFonts w:ascii="Trebuchet MS" w:hAnsi="Trebuchet MS"/>
          <w:sz w:val="24"/>
          <w:szCs w:val="24"/>
        </w:rPr>
        <w:t xml:space="preserve">in der AG 35 a SGB V des Gemeinsamen Bundesausschusses (GB-A) statt. </w:t>
      </w:r>
      <w:r w:rsidRPr="00F22ED9">
        <w:rPr>
          <w:rFonts w:ascii="Trebuchet MS" w:eastAsia="Times New Roman" w:hAnsi="Trebuchet MS" w:cs="Times New Roman"/>
          <w:sz w:val="24"/>
          <w:szCs w:val="24"/>
          <w:lang w:eastAsia="de-DE"/>
        </w:rPr>
        <w:t>Hier sind die maßgeblichen Patientenorganisationen in Deutschland nach §140f SGB-V beteiligt.</w:t>
      </w:r>
    </w:p>
    <w:p w:rsidR="00076A9F" w:rsidRPr="001A6105" w:rsidRDefault="00076A9F" w:rsidP="004C21AA">
      <w:pPr>
        <w:pStyle w:val="Listenabsatz"/>
        <w:spacing w:after="0" w:line="276" w:lineRule="auto"/>
        <w:jc w:val="both"/>
        <w:rPr>
          <w:rFonts w:ascii="Trebuchet MS" w:eastAsia="Times New Roman" w:hAnsi="Trebuchet MS" w:cs="Times New Roman"/>
          <w:sz w:val="24"/>
          <w:szCs w:val="24"/>
          <w:lang w:eastAsia="de-DE"/>
        </w:rPr>
      </w:pPr>
    </w:p>
    <w:p w:rsidR="00076A9F" w:rsidRPr="004C21AA" w:rsidRDefault="00076A9F" w:rsidP="004C21AA">
      <w:pPr>
        <w:spacing w:after="0" w:line="276" w:lineRule="auto"/>
        <w:jc w:val="both"/>
        <w:rPr>
          <w:rFonts w:ascii="Trebuchet MS" w:eastAsia="Times New Roman" w:hAnsi="Trebuchet MS" w:cs="Times New Roman"/>
          <w:sz w:val="24"/>
          <w:szCs w:val="24"/>
          <w:lang w:eastAsia="de-DE"/>
        </w:rPr>
      </w:pPr>
      <w:r w:rsidRPr="004C21AA">
        <w:rPr>
          <w:rFonts w:ascii="Trebuchet MS" w:hAnsi="Trebuchet MS"/>
          <w:sz w:val="24"/>
        </w:rPr>
        <w:t>Daran schließt sich das übergreifende Verfahren der PICO-Konsolidierung</w:t>
      </w:r>
      <w:r w:rsidR="00B33DF3" w:rsidRPr="004C21AA">
        <w:rPr>
          <w:rFonts w:ascii="Trebuchet MS" w:hAnsi="Trebuchet MS"/>
          <w:sz w:val="24"/>
        </w:rPr>
        <w:t xml:space="preserve"> an</w:t>
      </w:r>
      <w:r w:rsidRPr="004C21AA">
        <w:rPr>
          <w:rFonts w:ascii="Trebuchet MS" w:hAnsi="Trebuchet MS"/>
          <w:sz w:val="24"/>
        </w:rPr>
        <w:t>. Die PICO-Konsolidierung wird das Herzstück des künftigen E</w:t>
      </w:r>
      <w:r w:rsidR="00B33DF3" w:rsidRPr="004C21AA">
        <w:rPr>
          <w:rFonts w:ascii="Trebuchet MS" w:hAnsi="Trebuchet MS"/>
          <w:sz w:val="24"/>
        </w:rPr>
        <w:t>U</w:t>
      </w:r>
      <w:r w:rsidRPr="004C21AA">
        <w:rPr>
          <w:rFonts w:ascii="Trebuchet MS" w:hAnsi="Trebuchet MS"/>
          <w:sz w:val="24"/>
        </w:rPr>
        <w:t xml:space="preserve">-HTA-Verfahrens, also der </w:t>
      </w:r>
      <w:r w:rsidRPr="004C21AA">
        <w:rPr>
          <w:rFonts w:ascii="Trebuchet MS" w:hAnsi="Trebuchet MS" w:cs="Calibri"/>
          <w:sz w:val="24"/>
        </w:rPr>
        <w:t>gemeinsamen europäischen Nutzenbewertung.</w:t>
      </w:r>
    </w:p>
    <w:p w:rsidR="00076A9F" w:rsidRPr="001A6105" w:rsidRDefault="00076A9F" w:rsidP="001A6105">
      <w:pPr>
        <w:pStyle w:val="xmsonormal"/>
        <w:spacing w:before="0" w:beforeAutospacing="0" w:after="0" w:afterAutospacing="0" w:line="276" w:lineRule="auto"/>
        <w:jc w:val="both"/>
        <w:rPr>
          <w:rFonts w:ascii="Trebuchet MS" w:hAnsi="Trebuchet MS"/>
        </w:rPr>
      </w:pPr>
    </w:p>
    <w:p w:rsidR="00076A9F" w:rsidRPr="001A6105" w:rsidRDefault="00076A9F" w:rsidP="001A6105">
      <w:pPr>
        <w:spacing w:after="0" w:line="276" w:lineRule="auto"/>
        <w:jc w:val="both"/>
        <w:rPr>
          <w:rFonts w:ascii="Trebuchet MS" w:eastAsia="Times New Roman" w:hAnsi="Trebuchet MS" w:cs="Times New Roman"/>
          <w:b/>
          <w:sz w:val="24"/>
          <w:szCs w:val="24"/>
          <w:lang w:eastAsia="de-DE"/>
        </w:rPr>
      </w:pPr>
      <w:r w:rsidRPr="001A6105">
        <w:rPr>
          <w:rFonts w:ascii="Trebuchet MS" w:eastAsia="Times New Roman" w:hAnsi="Trebuchet MS" w:cs="Times New Roman"/>
          <w:b/>
          <w:sz w:val="24"/>
          <w:szCs w:val="24"/>
          <w:lang w:eastAsia="de-DE"/>
        </w:rPr>
        <w:t>PICO Auswahl für die Nutzenbewertung auf europäischer Ebene</w:t>
      </w:r>
    </w:p>
    <w:p w:rsidR="00076A9F" w:rsidRPr="001A6105" w:rsidRDefault="00076A9F" w:rsidP="001A6105">
      <w:pPr>
        <w:spacing w:after="0" w:line="276" w:lineRule="auto"/>
        <w:jc w:val="both"/>
        <w:rPr>
          <w:rFonts w:ascii="Trebuchet MS" w:eastAsia="Times New Roman" w:hAnsi="Trebuchet MS" w:cs="Times New Roman"/>
          <w:b/>
          <w:sz w:val="24"/>
          <w:szCs w:val="24"/>
          <w:lang w:eastAsia="de-DE"/>
        </w:rPr>
      </w:pPr>
    </w:p>
    <w:p w:rsidR="006F6E41" w:rsidRDefault="00076A9F" w:rsidP="001A6105">
      <w:pPr>
        <w:spacing w:after="0" w:line="276" w:lineRule="auto"/>
        <w:jc w:val="both"/>
        <w:rPr>
          <w:rFonts w:ascii="Trebuchet MS" w:eastAsia="Times New Roman" w:hAnsi="Trebuchet MS" w:cs="Times New Roman"/>
          <w:sz w:val="24"/>
          <w:szCs w:val="24"/>
          <w:lang w:eastAsia="de-DE"/>
        </w:rPr>
      </w:pPr>
      <w:r w:rsidRPr="001A6105">
        <w:rPr>
          <w:rFonts w:ascii="Trebuchet MS" w:eastAsia="Times New Roman" w:hAnsi="Trebuchet MS" w:cs="Times New Roman"/>
          <w:sz w:val="24"/>
          <w:szCs w:val="24"/>
          <w:lang w:eastAsia="de-DE"/>
        </w:rPr>
        <w:t>Alle auf nationaler Ebene zusammengestellten PICOS der Mitgliederstaaten werden im Rahmen der sog. PICO-Konsolidierung einem Auswahlverfahren unterzogen</w:t>
      </w:r>
      <w:r w:rsidR="00B33DF3">
        <w:rPr>
          <w:rFonts w:ascii="Trebuchet MS" w:eastAsia="Times New Roman" w:hAnsi="Trebuchet MS" w:cs="Times New Roman"/>
          <w:sz w:val="24"/>
          <w:szCs w:val="24"/>
          <w:lang w:eastAsia="de-DE"/>
        </w:rPr>
        <w:t>, u</w:t>
      </w:r>
      <w:r w:rsidRPr="001A6105">
        <w:rPr>
          <w:rFonts w:ascii="Trebuchet MS" w:eastAsia="Times New Roman" w:hAnsi="Trebuchet MS" w:cs="Times New Roman"/>
          <w:sz w:val="24"/>
          <w:szCs w:val="24"/>
          <w:lang w:eastAsia="de-DE"/>
        </w:rPr>
        <w:t xml:space="preserve">m die ohnehin schon komplexe Summe der Prüffragen überschaubar zu halten und Dopplungen zu vermeiden. Entsprechend werden wichtige </w:t>
      </w:r>
      <w:proofErr w:type="spellStart"/>
      <w:r w:rsidRPr="001A6105">
        <w:rPr>
          <w:rFonts w:ascii="Trebuchet MS" w:eastAsia="Times New Roman" w:hAnsi="Trebuchet MS" w:cs="Times New Roman"/>
          <w:sz w:val="24"/>
          <w:szCs w:val="24"/>
          <w:lang w:eastAsia="de-DE"/>
        </w:rPr>
        <w:t>PICO’s</w:t>
      </w:r>
      <w:proofErr w:type="spellEnd"/>
      <w:r w:rsidRPr="001A6105">
        <w:rPr>
          <w:rFonts w:ascii="Trebuchet MS" w:eastAsia="Times New Roman" w:hAnsi="Trebuchet MS" w:cs="Times New Roman"/>
          <w:sz w:val="24"/>
          <w:szCs w:val="24"/>
          <w:lang w:eastAsia="de-DE"/>
        </w:rPr>
        <w:t xml:space="preserve"> identifiziert und unnötige ausgesondert.</w:t>
      </w:r>
      <w:r w:rsidR="006F6E41">
        <w:rPr>
          <w:rFonts w:ascii="Trebuchet MS" w:eastAsia="Times New Roman" w:hAnsi="Trebuchet MS" w:cs="Times New Roman"/>
          <w:sz w:val="24"/>
          <w:szCs w:val="24"/>
          <w:lang w:eastAsia="de-DE"/>
        </w:rPr>
        <w:t xml:space="preserve"> Dabei wurde a</w:t>
      </w:r>
      <w:r w:rsidR="00AE5B77">
        <w:rPr>
          <w:rFonts w:ascii="Trebuchet MS" w:eastAsia="Times New Roman" w:hAnsi="Trebuchet MS" w:cs="Times New Roman"/>
          <w:sz w:val="24"/>
          <w:szCs w:val="24"/>
          <w:lang w:eastAsia="de-DE"/>
        </w:rPr>
        <w:t xml:space="preserve">us Zeitgründen nun leider auf die eigentlich ursprünglich vorgesehene Beteiligung der europäischen Patientenorganisationen verzichtet. </w:t>
      </w:r>
    </w:p>
    <w:p w:rsidR="006F6E41" w:rsidRDefault="006F6E41" w:rsidP="001A6105">
      <w:pPr>
        <w:spacing w:after="0" w:line="276" w:lineRule="auto"/>
        <w:jc w:val="both"/>
        <w:rPr>
          <w:rFonts w:ascii="Trebuchet MS" w:eastAsia="Times New Roman" w:hAnsi="Trebuchet MS" w:cs="Times New Roman"/>
          <w:sz w:val="24"/>
          <w:szCs w:val="24"/>
          <w:lang w:eastAsia="de-DE"/>
        </w:rPr>
      </w:pPr>
    </w:p>
    <w:p w:rsidR="00076A9F" w:rsidRPr="001A6105" w:rsidRDefault="006F6E41" w:rsidP="001A6105">
      <w:pPr>
        <w:spacing w:after="0" w:line="276" w:lineRule="auto"/>
        <w:jc w:val="both"/>
        <w:rPr>
          <w:rFonts w:ascii="Trebuchet MS" w:eastAsia="Times New Roman" w:hAnsi="Trebuchet MS" w:cs="Times New Roman"/>
          <w:sz w:val="24"/>
          <w:szCs w:val="24"/>
          <w:lang w:eastAsia="de-DE"/>
        </w:rPr>
      </w:pPr>
      <w:r>
        <w:rPr>
          <w:rFonts w:ascii="Trebuchet MS" w:eastAsia="Times New Roman" w:hAnsi="Trebuchet MS" w:cs="Times New Roman"/>
          <w:sz w:val="24"/>
          <w:szCs w:val="24"/>
          <w:lang w:eastAsia="de-DE"/>
        </w:rPr>
        <w:t>Nach der Konsolidierung</w:t>
      </w:r>
      <w:r w:rsidR="00076A9F" w:rsidRPr="001A6105">
        <w:rPr>
          <w:rFonts w:ascii="Trebuchet MS" w:eastAsia="Times New Roman" w:hAnsi="Trebuchet MS" w:cs="Times New Roman"/>
          <w:sz w:val="24"/>
          <w:szCs w:val="24"/>
          <w:lang w:eastAsia="de-DE"/>
        </w:rPr>
        <w:t xml:space="preserve"> werden die </w:t>
      </w:r>
      <w:r>
        <w:rPr>
          <w:rFonts w:ascii="Trebuchet MS" w:eastAsia="Times New Roman" w:hAnsi="Trebuchet MS" w:cs="Times New Roman"/>
          <w:sz w:val="24"/>
          <w:szCs w:val="24"/>
          <w:lang w:eastAsia="de-DE"/>
        </w:rPr>
        <w:t>entsprechenden</w:t>
      </w:r>
      <w:r w:rsidR="00076A9F" w:rsidRPr="001A6105">
        <w:rPr>
          <w:rFonts w:ascii="Trebuchet MS" w:eastAsia="Times New Roman" w:hAnsi="Trebuchet MS" w:cs="Times New Roman"/>
          <w:sz w:val="24"/>
          <w:szCs w:val="24"/>
          <w:lang w:eastAsia="de-DE"/>
        </w:rPr>
        <w:t xml:space="preserve"> PICOs der Europäischen Kommission gemeldet. Die Kommission fordert das Unternehmen, dessen Produkt bewertet werden soll, auf</w:t>
      </w:r>
      <w:r w:rsidR="00B33DF3">
        <w:rPr>
          <w:rFonts w:ascii="Trebuchet MS" w:eastAsia="Times New Roman" w:hAnsi="Trebuchet MS" w:cs="Times New Roman"/>
          <w:sz w:val="24"/>
          <w:szCs w:val="24"/>
          <w:lang w:eastAsia="de-DE"/>
        </w:rPr>
        <w:t>,</w:t>
      </w:r>
      <w:r w:rsidR="00076A9F" w:rsidRPr="001A6105">
        <w:rPr>
          <w:rFonts w:ascii="Trebuchet MS" w:eastAsia="Times New Roman" w:hAnsi="Trebuchet MS" w:cs="Times New Roman"/>
          <w:sz w:val="24"/>
          <w:szCs w:val="24"/>
          <w:lang w:eastAsia="de-DE"/>
        </w:rPr>
        <w:t xml:space="preserve"> ein Dossier einzureichen.</w:t>
      </w:r>
    </w:p>
    <w:p w:rsidR="006075E6" w:rsidRDefault="006075E6" w:rsidP="001A6105">
      <w:pPr>
        <w:spacing w:after="0" w:line="276" w:lineRule="auto"/>
        <w:jc w:val="both"/>
        <w:rPr>
          <w:rFonts w:ascii="Trebuchet MS" w:eastAsia="Times New Roman" w:hAnsi="Trebuchet MS" w:cs="Times New Roman"/>
          <w:sz w:val="24"/>
          <w:szCs w:val="24"/>
          <w:lang w:eastAsia="de-DE"/>
        </w:rPr>
      </w:pPr>
    </w:p>
    <w:p w:rsidR="00076A9F" w:rsidRPr="001A6105" w:rsidRDefault="006075E6" w:rsidP="001A6105">
      <w:pPr>
        <w:spacing w:after="0" w:line="276" w:lineRule="auto"/>
        <w:jc w:val="both"/>
        <w:rPr>
          <w:rFonts w:ascii="Trebuchet MS" w:eastAsia="Times New Roman" w:hAnsi="Trebuchet MS" w:cs="Times New Roman"/>
          <w:sz w:val="24"/>
          <w:szCs w:val="24"/>
          <w:lang w:eastAsia="de-DE"/>
        </w:rPr>
      </w:pPr>
      <w:r>
        <w:rPr>
          <w:rFonts w:ascii="Trebuchet MS" w:eastAsia="Times New Roman" w:hAnsi="Trebuchet MS" w:cs="Times New Roman"/>
          <w:sz w:val="24"/>
          <w:szCs w:val="24"/>
          <w:lang w:eastAsia="de-DE"/>
        </w:rPr>
        <w:t>Danach</w:t>
      </w:r>
      <w:r w:rsidR="00076A9F" w:rsidRPr="001A6105">
        <w:rPr>
          <w:rFonts w:ascii="Trebuchet MS" w:eastAsia="Times New Roman" w:hAnsi="Trebuchet MS" w:cs="Times New Roman"/>
          <w:sz w:val="24"/>
          <w:szCs w:val="24"/>
          <w:lang w:eastAsia="de-DE"/>
        </w:rPr>
        <w:t xml:space="preserve"> wird ein Berichterstatter bestimmt. Das ist eine HTA-Institution aus einem Mitgliedsstaat. In Deutschland wird das oft das IQWiG sein,</w:t>
      </w:r>
      <w:r w:rsidR="00192BE0" w:rsidRPr="001A6105">
        <w:rPr>
          <w:rFonts w:ascii="Trebuchet MS" w:eastAsia="Times New Roman" w:hAnsi="Trebuchet MS" w:cs="Times New Roman"/>
          <w:sz w:val="24"/>
          <w:szCs w:val="24"/>
          <w:lang w:eastAsia="de-DE"/>
        </w:rPr>
        <w:t xml:space="preserve"> in anderen Ländern werden aber </w:t>
      </w:r>
      <w:r w:rsidR="00076A9F" w:rsidRPr="001A6105">
        <w:rPr>
          <w:rFonts w:ascii="Trebuchet MS" w:eastAsia="Times New Roman" w:hAnsi="Trebuchet MS" w:cs="Times New Roman"/>
          <w:sz w:val="24"/>
          <w:szCs w:val="24"/>
          <w:lang w:eastAsia="de-DE"/>
        </w:rPr>
        <w:t>andere nationale HTA-Institution</w:t>
      </w:r>
      <w:r w:rsidR="00B33DF3">
        <w:rPr>
          <w:rFonts w:ascii="Trebuchet MS" w:eastAsia="Times New Roman" w:hAnsi="Trebuchet MS" w:cs="Times New Roman"/>
          <w:sz w:val="24"/>
          <w:szCs w:val="24"/>
          <w:lang w:eastAsia="de-DE"/>
        </w:rPr>
        <w:t>en</w:t>
      </w:r>
      <w:r w:rsidR="00076A9F" w:rsidRPr="001A6105">
        <w:rPr>
          <w:rFonts w:ascii="Trebuchet MS" w:eastAsia="Times New Roman" w:hAnsi="Trebuchet MS" w:cs="Times New Roman"/>
          <w:sz w:val="24"/>
          <w:szCs w:val="24"/>
          <w:lang w:eastAsia="de-DE"/>
        </w:rPr>
        <w:t xml:space="preserve"> bestimmt</w:t>
      </w:r>
      <w:r w:rsidR="00192BE0" w:rsidRPr="001A6105">
        <w:rPr>
          <w:rFonts w:ascii="Trebuchet MS" w:eastAsia="Times New Roman" w:hAnsi="Trebuchet MS" w:cs="Times New Roman"/>
          <w:sz w:val="24"/>
          <w:szCs w:val="24"/>
          <w:lang w:eastAsia="de-DE"/>
        </w:rPr>
        <w:t xml:space="preserve"> werden</w:t>
      </w:r>
      <w:r w:rsidR="00076A9F" w:rsidRPr="001A6105">
        <w:rPr>
          <w:rFonts w:ascii="Trebuchet MS" w:eastAsia="Times New Roman" w:hAnsi="Trebuchet MS" w:cs="Times New Roman"/>
          <w:sz w:val="24"/>
          <w:szCs w:val="24"/>
          <w:lang w:eastAsia="de-DE"/>
        </w:rPr>
        <w:t>.</w:t>
      </w:r>
    </w:p>
    <w:p w:rsidR="001A6105" w:rsidRDefault="001A6105" w:rsidP="001A6105">
      <w:pPr>
        <w:spacing w:after="0" w:line="276" w:lineRule="auto"/>
        <w:jc w:val="both"/>
        <w:rPr>
          <w:rFonts w:ascii="Trebuchet MS" w:eastAsia="Times New Roman" w:hAnsi="Trebuchet MS" w:cs="Times New Roman"/>
          <w:sz w:val="24"/>
          <w:szCs w:val="24"/>
          <w:lang w:eastAsia="de-DE"/>
        </w:rPr>
      </w:pPr>
    </w:p>
    <w:p w:rsidR="00076A9F" w:rsidRPr="001A6105" w:rsidRDefault="00076A9F" w:rsidP="001A6105">
      <w:pPr>
        <w:spacing w:after="0" w:line="276" w:lineRule="auto"/>
        <w:jc w:val="both"/>
        <w:rPr>
          <w:rFonts w:ascii="Trebuchet MS" w:eastAsia="Times New Roman" w:hAnsi="Trebuchet MS" w:cs="Times New Roman"/>
          <w:sz w:val="24"/>
          <w:szCs w:val="24"/>
          <w:lang w:eastAsia="de-DE"/>
        </w:rPr>
      </w:pPr>
      <w:r w:rsidRPr="001A6105">
        <w:rPr>
          <w:rFonts w:ascii="Trebuchet MS" w:eastAsia="Times New Roman" w:hAnsi="Trebuchet MS" w:cs="Times New Roman"/>
          <w:sz w:val="24"/>
          <w:szCs w:val="24"/>
          <w:lang w:eastAsia="de-DE"/>
        </w:rPr>
        <w:t>Dieser Berichterstatter führt dann die eigentliche Bewertung der Studien durch</w:t>
      </w:r>
      <w:r w:rsidR="006711D4" w:rsidRPr="001A6105">
        <w:rPr>
          <w:rFonts w:ascii="Trebuchet MS" w:eastAsia="Times New Roman" w:hAnsi="Trebuchet MS" w:cs="Times New Roman"/>
          <w:sz w:val="24"/>
          <w:szCs w:val="24"/>
          <w:lang w:eastAsia="de-DE"/>
        </w:rPr>
        <w:t xml:space="preserve"> (Assessment)</w:t>
      </w:r>
      <w:r w:rsidRPr="001A6105">
        <w:rPr>
          <w:rFonts w:ascii="Trebuchet MS" w:eastAsia="Times New Roman" w:hAnsi="Trebuchet MS" w:cs="Times New Roman"/>
          <w:sz w:val="24"/>
          <w:szCs w:val="24"/>
          <w:lang w:eastAsia="de-DE"/>
        </w:rPr>
        <w:t xml:space="preserve">. </w:t>
      </w:r>
    </w:p>
    <w:p w:rsidR="00076A9F" w:rsidRPr="001A6105" w:rsidRDefault="00076A9F" w:rsidP="001A6105">
      <w:pPr>
        <w:spacing w:after="0" w:line="276" w:lineRule="auto"/>
        <w:jc w:val="both"/>
        <w:rPr>
          <w:rFonts w:ascii="Trebuchet MS" w:eastAsia="Times New Roman" w:hAnsi="Trebuchet MS" w:cs="Times New Roman"/>
          <w:sz w:val="24"/>
          <w:szCs w:val="24"/>
          <w:lang w:eastAsia="de-DE"/>
        </w:rPr>
      </w:pPr>
      <w:r w:rsidRPr="001A6105">
        <w:rPr>
          <w:rFonts w:ascii="Trebuchet MS" w:eastAsia="Times New Roman" w:hAnsi="Trebuchet MS" w:cs="Times New Roman"/>
          <w:sz w:val="24"/>
          <w:szCs w:val="24"/>
          <w:lang w:eastAsia="de-DE"/>
        </w:rPr>
        <w:t>Hier sollte zwingend ein</w:t>
      </w:r>
      <w:r w:rsidR="00B33DF3">
        <w:rPr>
          <w:rFonts w:ascii="Trebuchet MS" w:eastAsia="Times New Roman" w:hAnsi="Trebuchet MS" w:cs="Times New Roman"/>
          <w:sz w:val="24"/>
          <w:szCs w:val="24"/>
          <w:lang w:eastAsia="de-DE"/>
        </w:rPr>
        <w:t>/e</w:t>
      </w:r>
      <w:r w:rsidR="001A6105">
        <w:rPr>
          <w:rFonts w:ascii="Trebuchet MS" w:eastAsia="Times New Roman" w:hAnsi="Trebuchet MS" w:cs="Times New Roman"/>
          <w:sz w:val="24"/>
          <w:szCs w:val="24"/>
          <w:lang w:eastAsia="de-DE"/>
        </w:rPr>
        <w:t xml:space="preserve"> </w:t>
      </w:r>
      <w:proofErr w:type="spellStart"/>
      <w:r w:rsidRPr="001A6105">
        <w:rPr>
          <w:rFonts w:ascii="Trebuchet MS" w:eastAsia="Times New Roman" w:hAnsi="Trebuchet MS" w:cs="Times New Roman"/>
          <w:sz w:val="24"/>
          <w:szCs w:val="24"/>
          <w:lang w:eastAsia="de-DE"/>
        </w:rPr>
        <w:t>Patientenvertreter:in</w:t>
      </w:r>
      <w:proofErr w:type="spellEnd"/>
      <w:r w:rsidRPr="001A6105">
        <w:rPr>
          <w:rFonts w:ascii="Trebuchet MS" w:eastAsia="Times New Roman" w:hAnsi="Trebuchet MS" w:cs="Times New Roman"/>
          <w:sz w:val="24"/>
          <w:szCs w:val="24"/>
          <w:lang w:eastAsia="de-DE"/>
        </w:rPr>
        <w:t xml:space="preserve"> beteilig</w:t>
      </w:r>
      <w:r w:rsidR="00B33DF3">
        <w:rPr>
          <w:rFonts w:ascii="Trebuchet MS" w:eastAsia="Times New Roman" w:hAnsi="Trebuchet MS" w:cs="Times New Roman"/>
          <w:sz w:val="24"/>
          <w:szCs w:val="24"/>
          <w:lang w:eastAsia="de-DE"/>
        </w:rPr>
        <w:t>t</w:t>
      </w:r>
      <w:r w:rsidRPr="001A6105">
        <w:rPr>
          <w:rFonts w:ascii="Trebuchet MS" w:eastAsia="Times New Roman" w:hAnsi="Trebuchet MS" w:cs="Times New Roman"/>
          <w:sz w:val="24"/>
          <w:szCs w:val="24"/>
          <w:lang w:eastAsia="de-DE"/>
        </w:rPr>
        <w:t xml:space="preserve"> sein. Bislang ist aber nur geplant, dass lediglich bei Bedarf eine Person aus der Patientenvertretung hinzugezogen und ohne jede Vorbereitung zu einem beliebigen Thema befragt wird. </w:t>
      </w:r>
      <w:r w:rsidR="006711D4" w:rsidRPr="001A6105">
        <w:rPr>
          <w:rFonts w:ascii="Trebuchet MS" w:eastAsia="Times New Roman" w:hAnsi="Trebuchet MS" w:cs="Times New Roman"/>
          <w:sz w:val="24"/>
          <w:szCs w:val="24"/>
          <w:lang w:eastAsia="de-DE"/>
        </w:rPr>
        <w:t>Es soll eine Datenbank eingerichtet werden, in der sich interessierte Patientenvertreter:innen listen lassen können.</w:t>
      </w:r>
    </w:p>
    <w:p w:rsidR="00076A9F" w:rsidRPr="001A6105" w:rsidRDefault="00076A9F" w:rsidP="001A6105">
      <w:pPr>
        <w:spacing w:after="0" w:line="276" w:lineRule="auto"/>
        <w:jc w:val="both"/>
        <w:rPr>
          <w:rFonts w:ascii="Trebuchet MS" w:eastAsia="Times New Roman" w:hAnsi="Trebuchet MS" w:cs="Times New Roman"/>
          <w:sz w:val="24"/>
          <w:szCs w:val="24"/>
          <w:lang w:eastAsia="de-DE"/>
        </w:rPr>
      </w:pPr>
    </w:p>
    <w:p w:rsidR="00076A9F" w:rsidRDefault="00076A9F" w:rsidP="001A6105">
      <w:pPr>
        <w:spacing w:after="0" w:line="276" w:lineRule="auto"/>
        <w:jc w:val="both"/>
        <w:rPr>
          <w:rFonts w:ascii="Trebuchet MS" w:eastAsia="Times New Roman" w:hAnsi="Trebuchet MS" w:cs="Times New Roman"/>
          <w:sz w:val="24"/>
          <w:szCs w:val="24"/>
          <w:lang w:eastAsia="de-DE"/>
        </w:rPr>
      </w:pPr>
      <w:r w:rsidRPr="001A6105">
        <w:rPr>
          <w:rFonts w:ascii="Trebuchet MS" w:eastAsia="Times New Roman" w:hAnsi="Trebuchet MS" w:cs="Times New Roman"/>
          <w:sz w:val="24"/>
          <w:szCs w:val="24"/>
          <w:lang w:eastAsia="de-DE"/>
        </w:rPr>
        <w:t>Ist der Bericht zur Bewertung des (Hersteller-)Dossiers fertig, geht dieser an die nationalen Gesundheitssysteme. In Deutschland wird sich der G</w:t>
      </w:r>
      <w:r w:rsidR="00B33DF3">
        <w:rPr>
          <w:rFonts w:ascii="Trebuchet MS" w:eastAsia="Times New Roman" w:hAnsi="Trebuchet MS" w:cs="Times New Roman"/>
          <w:sz w:val="24"/>
          <w:szCs w:val="24"/>
          <w:lang w:eastAsia="de-DE"/>
        </w:rPr>
        <w:t>-</w:t>
      </w:r>
      <w:r w:rsidRPr="001A6105">
        <w:rPr>
          <w:rFonts w:ascii="Trebuchet MS" w:eastAsia="Times New Roman" w:hAnsi="Trebuchet MS" w:cs="Times New Roman"/>
          <w:sz w:val="24"/>
          <w:szCs w:val="24"/>
          <w:lang w:eastAsia="de-DE"/>
        </w:rPr>
        <w:t>BA mit dem Bericht befassen und muss klären, ob er diesen zu seiner Entscheidungsgrundlage macht oder ob er das IQWiG nochmal mit einer spezifischen Bewertung dazu hören will. Hier wäre dann die Patientenvertretung aus Deutschland wieder automatisch beteiligt.</w:t>
      </w:r>
    </w:p>
    <w:p w:rsidR="00837680" w:rsidRDefault="00837680" w:rsidP="001A6105">
      <w:pPr>
        <w:spacing w:after="0" w:line="276" w:lineRule="auto"/>
        <w:jc w:val="both"/>
        <w:rPr>
          <w:rFonts w:ascii="Trebuchet MS" w:eastAsia="Times New Roman" w:hAnsi="Trebuchet MS" w:cs="Times New Roman"/>
          <w:sz w:val="24"/>
          <w:szCs w:val="24"/>
          <w:lang w:eastAsia="de-DE"/>
        </w:rPr>
      </w:pPr>
    </w:p>
    <w:p w:rsidR="001A6105" w:rsidRDefault="001A6105" w:rsidP="001A6105">
      <w:pPr>
        <w:spacing w:after="0" w:line="276" w:lineRule="auto"/>
        <w:jc w:val="both"/>
        <w:rPr>
          <w:rFonts w:ascii="Trebuchet MS" w:eastAsia="Times New Roman" w:hAnsi="Trebuchet MS" w:cs="Times New Roman"/>
          <w:sz w:val="24"/>
          <w:szCs w:val="24"/>
          <w:lang w:eastAsia="de-DE"/>
        </w:rPr>
      </w:pPr>
    </w:p>
    <w:p w:rsidR="004B58C5" w:rsidRDefault="004B58C5" w:rsidP="001A6105">
      <w:pPr>
        <w:spacing w:after="0" w:line="276" w:lineRule="auto"/>
        <w:jc w:val="both"/>
        <w:rPr>
          <w:rFonts w:ascii="Trebuchet MS" w:eastAsia="Times New Roman" w:hAnsi="Trebuchet MS" w:cs="Times New Roman"/>
          <w:sz w:val="24"/>
          <w:szCs w:val="24"/>
          <w:lang w:eastAsia="de-DE"/>
        </w:rPr>
      </w:pPr>
    </w:p>
    <w:p w:rsidR="004B58C5" w:rsidRPr="001A6105" w:rsidRDefault="004B58C5" w:rsidP="001A6105">
      <w:pPr>
        <w:spacing w:after="0" w:line="276" w:lineRule="auto"/>
        <w:jc w:val="both"/>
        <w:rPr>
          <w:rFonts w:ascii="Trebuchet MS" w:eastAsia="Times New Roman" w:hAnsi="Trebuchet MS" w:cs="Times New Roman"/>
          <w:sz w:val="24"/>
          <w:szCs w:val="24"/>
          <w:lang w:eastAsia="de-DE"/>
        </w:rPr>
      </w:pPr>
    </w:p>
    <w:p w:rsidR="0042072A" w:rsidRPr="001A6105" w:rsidRDefault="0042072A" w:rsidP="001A6105">
      <w:pPr>
        <w:pStyle w:val="Listenabsatz"/>
        <w:numPr>
          <w:ilvl w:val="0"/>
          <w:numId w:val="2"/>
        </w:numPr>
        <w:spacing w:after="0" w:line="276" w:lineRule="auto"/>
        <w:jc w:val="both"/>
        <w:rPr>
          <w:rFonts w:ascii="Trebuchet MS" w:eastAsia="Times New Roman" w:hAnsi="Trebuchet MS" w:cs="Times New Roman"/>
          <w:b/>
          <w:sz w:val="28"/>
          <w:szCs w:val="24"/>
          <w:lang w:eastAsia="de-DE"/>
        </w:rPr>
      </w:pPr>
      <w:r w:rsidRPr="001A6105">
        <w:rPr>
          <w:rFonts w:ascii="Trebuchet MS" w:eastAsia="Times New Roman" w:hAnsi="Trebuchet MS" w:cs="Times New Roman"/>
          <w:b/>
          <w:sz w:val="28"/>
          <w:szCs w:val="24"/>
          <w:lang w:eastAsia="de-DE"/>
        </w:rPr>
        <w:lastRenderedPageBreak/>
        <w:t>Welche Bedeutung hat der „Bericht“, der aus dem EU-HTA- Verfahren hervorgeht?</w:t>
      </w:r>
    </w:p>
    <w:p w:rsidR="001A6105" w:rsidRDefault="001A6105" w:rsidP="001A6105">
      <w:pPr>
        <w:spacing w:after="0" w:line="276" w:lineRule="auto"/>
        <w:jc w:val="both"/>
        <w:rPr>
          <w:rFonts w:ascii="Trebuchet MS" w:eastAsia="Times New Roman" w:hAnsi="Trebuchet MS" w:cs="Times New Roman"/>
          <w:sz w:val="24"/>
          <w:szCs w:val="24"/>
          <w:lang w:eastAsia="de-DE"/>
        </w:rPr>
      </w:pPr>
    </w:p>
    <w:p w:rsidR="004C6D55" w:rsidRDefault="00046165" w:rsidP="001A6105">
      <w:pPr>
        <w:spacing w:after="0" w:line="276" w:lineRule="auto"/>
        <w:jc w:val="both"/>
        <w:rPr>
          <w:rFonts w:ascii="Trebuchet MS" w:hAnsi="Trebuchet MS"/>
          <w:color w:val="000000" w:themeColor="text1"/>
          <w:sz w:val="24"/>
          <w:szCs w:val="24"/>
        </w:rPr>
      </w:pPr>
      <w:r w:rsidRPr="001A6105">
        <w:rPr>
          <w:rFonts w:ascii="Trebuchet MS" w:eastAsia="Times New Roman" w:hAnsi="Trebuchet MS" w:cs="Times New Roman"/>
          <w:sz w:val="24"/>
          <w:szCs w:val="24"/>
          <w:lang w:eastAsia="de-DE"/>
        </w:rPr>
        <w:t>Der Bericht wird durch den Gutachter und den Mitgutachter erstellt.</w:t>
      </w:r>
      <w:r w:rsidR="001A6105">
        <w:rPr>
          <w:rFonts w:ascii="Trebuchet MS" w:eastAsia="Times New Roman" w:hAnsi="Trebuchet MS" w:cs="Times New Roman"/>
          <w:sz w:val="24"/>
          <w:szCs w:val="24"/>
          <w:lang w:eastAsia="de-DE"/>
        </w:rPr>
        <w:t xml:space="preserve"> </w:t>
      </w:r>
      <w:r w:rsidR="004C6D55" w:rsidRPr="001A6105">
        <w:rPr>
          <w:rFonts w:ascii="Trebuchet MS" w:hAnsi="Trebuchet MS"/>
          <w:color w:val="000000" w:themeColor="text1"/>
          <w:sz w:val="24"/>
          <w:szCs w:val="24"/>
        </w:rPr>
        <w:t>Dabei beschränkt sich die wissenschaftliche Analyse auf folgende Aspekte:</w:t>
      </w:r>
    </w:p>
    <w:p w:rsidR="001A6105" w:rsidRPr="001A6105" w:rsidRDefault="001A6105" w:rsidP="001A6105">
      <w:pPr>
        <w:spacing w:after="0" w:line="276" w:lineRule="auto"/>
        <w:jc w:val="both"/>
        <w:rPr>
          <w:rFonts w:ascii="Trebuchet MS" w:hAnsi="Trebuchet MS"/>
          <w:color w:val="000000" w:themeColor="text1"/>
          <w:sz w:val="24"/>
          <w:szCs w:val="24"/>
        </w:rPr>
      </w:pPr>
    </w:p>
    <w:p w:rsidR="004C6D55" w:rsidRPr="001A6105" w:rsidRDefault="004C6D55" w:rsidP="001A6105">
      <w:pPr>
        <w:pStyle w:val="Listenabsatz"/>
        <w:numPr>
          <w:ilvl w:val="0"/>
          <w:numId w:val="5"/>
        </w:numPr>
        <w:spacing w:line="276" w:lineRule="auto"/>
        <w:jc w:val="both"/>
        <w:rPr>
          <w:rFonts w:ascii="Trebuchet MS" w:hAnsi="Trebuchet MS"/>
          <w:color w:val="000000" w:themeColor="text1"/>
          <w:sz w:val="24"/>
          <w:szCs w:val="24"/>
        </w:rPr>
      </w:pPr>
      <w:r w:rsidRPr="001A6105">
        <w:rPr>
          <w:rFonts w:ascii="Trebuchet MS" w:hAnsi="Trebuchet MS"/>
          <w:color w:val="000000" w:themeColor="text1"/>
          <w:sz w:val="24"/>
          <w:szCs w:val="24"/>
        </w:rPr>
        <w:t>Relative Effekte der HTA, die in Übereinstimmung mit den ausgewählten Parametern auf der Grundlage des Bewertungsumfanges anhand der gesundheitsbezogenen Endpunkte bewertet wird.</w:t>
      </w:r>
    </w:p>
    <w:p w:rsidR="004C6D55" w:rsidRPr="004B58C5" w:rsidRDefault="004C6D55" w:rsidP="001A6105">
      <w:pPr>
        <w:pStyle w:val="Listenabsatz"/>
        <w:numPr>
          <w:ilvl w:val="0"/>
          <w:numId w:val="5"/>
        </w:numPr>
        <w:spacing w:line="276" w:lineRule="auto"/>
        <w:jc w:val="both"/>
        <w:rPr>
          <w:rFonts w:ascii="Trebuchet MS" w:hAnsi="Trebuchet MS"/>
          <w:color w:val="000000" w:themeColor="text1"/>
          <w:sz w:val="24"/>
          <w:szCs w:val="24"/>
        </w:rPr>
      </w:pPr>
      <w:r w:rsidRPr="001A6105">
        <w:rPr>
          <w:rFonts w:ascii="Trebuchet MS" w:hAnsi="Trebuchet MS"/>
          <w:color w:val="000000" w:themeColor="text1"/>
          <w:sz w:val="24"/>
          <w:szCs w:val="24"/>
        </w:rPr>
        <w:t>Aussagesicherheit der relativen Effekte der HTA unter Berücksichtigung der Stärken und Schwächen der verfügbaren Nachweise.</w:t>
      </w:r>
      <w:bookmarkStart w:id="0" w:name="_GoBack"/>
      <w:bookmarkEnd w:id="0"/>
    </w:p>
    <w:p w:rsidR="004C6D55" w:rsidRPr="001A6105" w:rsidRDefault="004C6D55" w:rsidP="001A6105">
      <w:pPr>
        <w:spacing w:line="276" w:lineRule="auto"/>
        <w:jc w:val="both"/>
        <w:rPr>
          <w:rFonts w:ascii="Trebuchet MS" w:hAnsi="Trebuchet MS"/>
          <w:sz w:val="24"/>
          <w:szCs w:val="24"/>
        </w:rPr>
      </w:pPr>
      <w:r w:rsidRPr="001A6105">
        <w:rPr>
          <w:rFonts w:ascii="Trebuchet MS" w:hAnsi="Trebuchet MS"/>
          <w:sz w:val="24"/>
          <w:szCs w:val="24"/>
        </w:rPr>
        <w:t>Dieser Bericht muss durch die Koordinierungsgruppe innerhalb von festgelegten Fristen gebilligt werden. Bei Arzneimitteln sind das 30 Tage nach Annahme des Beschlusses der Kommission über die Erteilung der Zulassung. Für Medizinprodukte und In-Vitro Diagnostika im Einklang mit den Verfahren für gemeinsame klinische Bewertungen (Festlegung der Fristen durch die Koordinierungsgruppe und Durchführungsrechtsakte zum Informationsaustausch mit den benannten Stellen und Expertengremien</w:t>
      </w:r>
      <w:r w:rsidR="002A0724">
        <w:rPr>
          <w:rFonts w:ascii="Trebuchet MS" w:hAnsi="Trebuchet MS"/>
          <w:sz w:val="24"/>
          <w:szCs w:val="24"/>
        </w:rPr>
        <w:t>)</w:t>
      </w:r>
      <w:r w:rsidRPr="001A6105">
        <w:rPr>
          <w:rFonts w:ascii="Trebuchet MS" w:hAnsi="Trebuchet MS"/>
          <w:sz w:val="24"/>
          <w:szCs w:val="24"/>
        </w:rPr>
        <w:t>.</w:t>
      </w:r>
    </w:p>
    <w:p w:rsidR="004C6D55" w:rsidRPr="001A6105" w:rsidRDefault="004C6D55" w:rsidP="001A6105">
      <w:pPr>
        <w:spacing w:line="276" w:lineRule="auto"/>
        <w:jc w:val="both"/>
        <w:rPr>
          <w:rFonts w:ascii="Trebuchet MS" w:hAnsi="Trebuchet MS"/>
          <w:sz w:val="24"/>
          <w:szCs w:val="24"/>
        </w:rPr>
      </w:pPr>
      <w:r w:rsidRPr="001A6105">
        <w:rPr>
          <w:rFonts w:ascii="Trebuchet MS" w:hAnsi="Trebuchet MS"/>
          <w:sz w:val="24"/>
          <w:szCs w:val="24"/>
        </w:rPr>
        <w:t>Hier ist die Nachforderung von Informationen zulässig. Auch der Zugriff auf andere Informationsquellen, wie das Patientenregister, sind möglich. Neue klinische Daten müssen auch während des Verfahrens vorgelegt werden. Die Mitglieder der bekannten Untergruppe übermitteln ihre Anmerkungen zu den Berichtsentwürfen. Diese Berichtsentwürfe werden dem HTA Entwickler zur Verfügung gestellt. Der HTA Entwickler übermittelt daraufhin nur technische oder sachliche Ungenauigkeiten sowie vertrauliche Geschäftsinformationen einschließlich Begründung. Er darf aber keine Anmerkungen zu den Berichtsergebnissen des Bewertungsentwurfes machen. Danach erstellen Gutachter und Mitgutach</w:t>
      </w:r>
      <w:r w:rsidR="00886223">
        <w:rPr>
          <w:rFonts w:ascii="Trebuchet MS" w:hAnsi="Trebuchet MS"/>
          <w:sz w:val="24"/>
          <w:szCs w:val="24"/>
        </w:rPr>
        <w:t>t</w:t>
      </w:r>
      <w:r w:rsidRPr="001A6105">
        <w:rPr>
          <w:rFonts w:ascii="Trebuchet MS" w:hAnsi="Trebuchet MS"/>
          <w:sz w:val="24"/>
          <w:szCs w:val="24"/>
        </w:rPr>
        <w:t>er überarbeitete Berichtsentwürfe und übermittelt diese an die Koordinierungsgruppe über eine IT Plattform. Diese IT Plattform wird auch einen öffen</w:t>
      </w:r>
      <w:r w:rsidR="00886223">
        <w:rPr>
          <w:rFonts w:ascii="Trebuchet MS" w:hAnsi="Trebuchet MS"/>
          <w:sz w:val="24"/>
          <w:szCs w:val="24"/>
        </w:rPr>
        <w:t>t</w:t>
      </w:r>
      <w:r w:rsidRPr="001A6105">
        <w:rPr>
          <w:rFonts w:ascii="Trebuchet MS" w:hAnsi="Trebuchet MS"/>
          <w:sz w:val="24"/>
          <w:szCs w:val="24"/>
        </w:rPr>
        <w:t xml:space="preserve">lichen Bereich haben, über den die abgeschlossenen </w:t>
      </w:r>
      <w:r w:rsidR="00886223">
        <w:rPr>
          <w:rFonts w:ascii="Trebuchet MS" w:hAnsi="Trebuchet MS"/>
          <w:sz w:val="24"/>
          <w:szCs w:val="24"/>
        </w:rPr>
        <w:t>B</w:t>
      </w:r>
      <w:r w:rsidRPr="001A6105">
        <w:rPr>
          <w:rFonts w:ascii="Trebuchet MS" w:hAnsi="Trebuchet MS"/>
          <w:sz w:val="24"/>
          <w:szCs w:val="24"/>
        </w:rPr>
        <w:t>erichte zu den HTAS eingesehen werden können.</w:t>
      </w:r>
    </w:p>
    <w:p w:rsidR="00A46EA4" w:rsidRPr="004B58C5" w:rsidRDefault="004C6D55" w:rsidP="001A6105">
      <w:pPr>
        <w:spacing w:line="276" w:lineRule="auto"/>
        <w:jc w:val="both"/>
        <w:rPr>
          <w:rFonts w:ascii="Trebuchet MS" w:hAnsi="Trebuchet MS"/>
          <w:sz w:val="24"/>
          <w:szCs w:val="24"/>
        </w:rPr>
      </w:pPr>
      <w:r w:rsidRPr="001A6105">
        <w:rPr>
          <w:rFonts w:ascii="Trebuchet MS" w:hAnsi="Trebuchet MS"/>
          <w:sz w:val="24"/>
          <w:szCs w:val="24"/>
        </w:rPr>
        <w:t>Die Gesamtdauer des EU HTA-Verfahrens eines Bewertungsprozesses soll maximal 139 Tage dauern.</w:t>
      </w:r>
    </w:p>
    <w:p w:rsidR="00A46EA4" w:rsidRDefault="00A46EA4" w:rsidP="001A6105">
      <w:pPr>
        <w:spacing w:line="276" w:lineRule="auto"/>
        <w:jc w:val="both"/>
        <w:rPr>
          <w:rFonts w:ascii="Trebuchet MS" w:hAnsi="Trebuchet MS"/>
          <w:b/>
          <w:sz w:val="24"/>
          <w:szCs w:val="24"/>
        </w:rPr>
      </w:pPr>
    </w:p>
    <w:p w:rsidR="004C6D55" w:rsidRPr="001A6105" w:rsidRDefault="004C6D55" w:rsidP="001A6105">
      <w:pPr>
        <w:spacing w:line="276" w:lineRule="auto"/>
        <w:jc w:val="both"/>
        <w:rPr>
          <w:rFonts w:ascii="Trebuchet MS" w:hAnsi="Trebuchet MS"/>
          <w:b/>
          <w:sz w:val="24"/>
          <w:szCs w:val="24"/>
        </w:rPr>
      </w:pPr>
      <w:r w:rsidRPr="001A6105">
        <w:rPr>
          <w:rFonts w:ascii="Trebuchet MS" w:hAnsi="Trebuchet MS"/>
          <w:b/>
          <w:sz w:val="24"/>
          <w:szCs w:val="24"/>
        </w:rPr>
        <w:t>Nutzung des Berichts in den Mitgliedsstaaten</w:t>
      </w:r>
    </w:p>
    <w:p w:rsidR="004C6D55" w:rsidRPr="001A6105" w:rsidRDefault="004C6D55" w:rsidP="001A6105">
      <w:pPr>
        <w:spacing w:line="276" w:lineRule="auto"/>
        <w:jc w:val="both"/>
        <w:rPr>
          <w:rFonts w:ascii="Trebuchet MS" w:hAnsi="Trebuchet MS"/>
          <w:sz w:val="24"/>
          <w:szCs w:val="24"/>
        </w:rPr>
      </w:pPr>
      <w:r w:rsidRPr="001A6105">
        <w:rPr>
          <w:rFonts w:ascii="Trebuchet MS" w:hAnsi="Trebuchet MS"/>
          <w:sz w:val="24"/>
          <w:szCs w:val="24"/>
        </w:rPr>
        <w:t>Die Mitgliederstaaten sind verpflichtet, die Ergebnisse der Berichte „in angemessener Weise“ in de</w:t>
      </w:r>
      <w:r w:rsidR="00886223">
        <w:rPr>
          <w:rFonts w:ascii="Trebuchet MS" w:hAnsi="Trebuchet MS"/>
          <w:sz w:val="24"/>
          <w:szCs w:val="24"/>
        </w:rPr>
        <w:t>n</w:t>
      </w:r>
      <w:r w:rsidRPr="001A6105">
        <w:rPr>
          <w:rFonts w:ascii="Trebuchet MS" w:hAnsi="Trebuchet MS"/>
          <w:sz w:val="24"/>
          <w:szCs w:val="24"/>
        </w:rPr>
        <w:t xml:space="preserve"> nationalen HTA -Verfahren zu berücksichtigen.</w:t>
      </w:r>
    </w:p>
    <w:p w:rsidR="00076A9F" w:rsidRPr="001A6105" w:rsidRDefault="004C6D55" w:rsidP="004B58C5">
      <w:pPr>
        <w:spacing w:line="276" w:lineRule="auto"/>
        <w:jc w:val="both"/>
        <w:rPr>
          <w:rFonts w:ascii="Trebuchet MS" w:hAnsi="Trebuchet MS"/>
          <w:sz w:val="24"/>
          <w:szCs w:val="24"/>
        </w:rPr>
      </w:pPr>
      <w:r w:rsidRPr="001A6105">
        <w:rPr>
          <w:rFonts w:ascii="Trebuchet MS" w:hAnsi="Trebuchet MS"/>
          <w:sz w:val="24"/>
          <w:szCs w:val="24"/>
        </w:rPr>
        <w:t>Sie dürfen weiterhin eigene Schlussfolgerungen über den gesamten klinischen Zusatznutzen im Kontext ihres spezifischen Gesundheitssystems ziehen und nur Teile des gemeinsamen Berichts berücksichtigen</w:t>
      </w:r>
      <w:r w:rsidRPr="001A6105">
        <w:rPr>
          <w:rFonts w:ascii="Trebuchet MS" w:hAnsi="Trebuchet MS"/>
          <w:b/>
          <w:sz w:val="24"/>
          <w:szCs w:val="24"/>
        </w:rPr>
        <w:t xml:space="preserve">. </w:t>
      </w:r>
      <w:r w:rsidRPr="001A6105">
        <w:rPr>
          <w:rFonts w:ascii="Trebuchet MS" w:hAnsi="Trebuchet MS"/>
          <w:sz w:val="24"/>
          <w:szCs w:val="24"/>
        </w:rPr>
        <w:t>Ist ein gemeinsamer Bericht verfügbar, soll er aber den nationalen HTA Prozess unterstütz</w:t>
      </w:r>
      <w:r w:rsidR="00B73C9F">
        <w:rPr>
          <w:rFonts w:ascii="Trebuchet MS" w:hAnsi="Trebuchet MS"/>
          <w:sz w:val="24"/>
          <w:szCs w:val="24"/>
        </w:rPr>
        <w:t>en</w:t>
      </w:r>
      <w:r w:rsidR="004B58C5">
        <w:rPr>
          <w:rFonts w:ascii="Trebuchet MS" w:hAnsi="Trebuchet MS"/>
          <w:sz w:val="24"/>
          <w:szCs w:val="24"/>
        </w:rPr>
        <w:t>.</w:t>
      </w:r>
    </w:p>
    <w:sectPr w:rsidR="00076A9F" w:rsidRPr="001A6105">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659" w:rsidRDefault="00177659" w:rsidP="00886223">
      <w:pPr>
        <w:spacing w:after="0" w:line="240" w:lineRule="auto"/>
      </w:pPr>
      <w:r>
        <w:separator/>
      </w:r>
    </w:p>
  </w:endnote>
  <w:endnote w:type="continuationSeparator" w:id="0">
    <w:p w:rsidR="00177659" w:rsidRDefault="00177659" w:rsidP="00886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202502"/>
      <w:docPartObj>
        <w:docPartGallery w:val="Page Numbers (Bottom of Page)"/>
        <w:docPartUnique/>
      </w:docPartObj>
    </w:sdtPr>
    <w:sdtEndPr>
      <w:rPr>
        <w:rFonts w:ascii="Trebuchet MS" w:hAnsi="Trebuchet MS"/>
      </w:rPr>
    </w:sdtEndPr>
    <w:sdtContent>
      <w:p w:rsidR="00886223" w:rsidRPr="00886223" w:rsidRDefault="00886223">
        <w:pPr>
          <w:pStyle w:val="Fuzeile"/>
          <w:jc w:val="right"/>
          <w:rPr>
            <w:rFonts w:ascii="Trebuchet MS" w:hAnsi="Trebuchet MS"/>
          </w:rPr>
        </w:pPr>
        <w:r w:rsidRPr="00886223">
          <w:rPr>
            <w:rFonts w:ascii="Trebuchet MS" w:hAnsi="Trebuchet MS"/>
          </w:rPr>
          <w:fldChar w:fldCharType="begin"/>
        </w:r>
        <w:r w:rsidRPr="00886223">
          <w:rPr>
            <w:rFonts w:ascii="Trebuchet MS" w:hAnsi="Trebuchet MS"/>
          </w:rPr>
          <w:instrText>PAGE   \* MERGEFORMAT</w:instrText>
        </w:r>
        <w:r w:rsidRPr="00886223">
          <w:rPr>
            <w:rFonts w:ascii="Trebuchet MS" w:hAnsi="Trebuchet MS"/>
          </w:rPr>
          <w:fldChar w:fldCharType="separate"/>
        </w:r>
        <w:r w:rsidRPr="00886223">
          <w:rPr>
            <w:rFonts w:ascii="Trebuchet MS" w:hAnsi="Trebuchet MS"/>
          </w:rPr>
          <w:t>2</w:t>
        </w:r>
        <w:r w:rsidRPr="00886223">
          <w:rPr>
            <w:rFonts w:ascii="Trebuchet MS" w:hAnsi="Trebuchet MS"/>
          </w:rPr>
          <w:fldChar w:fldCharType="end"/>
        </w:r>
      </w:p>
    </w:sdtContent>
  </w:sdt>
  <w:p w:rsidR="00886223" w:rsidRDefault="008862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659" w:rsidRDefault="00177659" w:rsidP="00886223">
      <w:pPr>
        <w:spacing w:after="0" w:line="240" w:lineRule="auto"/>
      </w:pPr>
      <w:r>
        <w:separator/>
      </w:r>
    </w:p>
  </w:footnote>
  <w:footnote w:type="continuationSeparator" w:id="0">
    <w:p w:rsidR="00177659" w:rsidRDefault="00177659" w:rsidP="00886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809CC"/>
    <w:multiLevelType w:val="multilevel"/>
    <w:tmpl w:val="1F88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76E41"/>
    <w:multiLevelType w:val="hybridMultilevel"/>
    <w:tmpl w:val="CBD6600C"/>
    <w:lvl w:ilvl="0" w:tplc="E286C8A4">
      <w:start w:val="1"/>
      <w:numFmt w:val="decimal"/>
      <w:lvlText w:val="%1."/>
      <w:lvlJc w:val="left"/>
      <w:pPr>
        <w:ind w:left="410" w:hanging="360"/>
      </w:pPr>
      <w:rPr>
        <w:rFonts w:hint="default"/>
      </w:rPr>
    </w:lvl>
    <w:lvl w:ilvl="1" w:tplc="04070019" w:tentative="1">
      <w:start w:val="1"/>
      <w:numFmt w:val="lowerLetter"/>
      <w:lvlText w:val="%2."/>
      <w:lvlJc w:val="left"/>
      <w:pPr>
        <w:ind w:left="1130" w:hanging="360"/>
      </w:pPr>
    </w:lvl>
    <w:lvl w:ilvl="2" w:tplc="0407001B" w:tentative="1">
      <w:start w:val="1"/>
      <w:numFmt w:val="lowerRoman"/>
      <w:lvlText w:val="%3."/>
      <w:lvlJc w:val="right"/>
      <w:pPr>
        <w:ind w:left="1850" w:hanging="180"/>
      </w:pPr>
    </w:lvl>
    <w:lvl w:ilvl="3" w:tplc="0407000F" w:tentative="1">
      <w:start w:val="1"/>
      <w:numFmt w:val="decimal"/>
      <w:lvlText w:val="%4."/>
      <w:lvlJc w:val="left"/>
      <w:pPr>
        <w:ind w:left="2570" w:hanging="360"/>
      </w:pPr>
    </w:lvl>
    <w:lvl w:ilvl="4" w:tplc="04070019" w:tentative="1">
      <w:start w:val="1"/>
      <w:numFmt w:val="lowerLetter"/>
      <w:lvlText w:val="%5."/>
      <w:lvlJc w:val="left"/>
      <w:pPr>
        <w:ind w:left="3290" w:hanging="360"/>
      </w:pPr>
    </w:lvl>
    <w:lvl w:ilvl="5" w:tplc="0407001B" w:tentative="1">
      <w:start w:val="1"/>
      <w:numFmt w:val="lowerRoman"/>
      <w:lvlText w:val="%6."/>
      <w:lvlJc w:val="right"/>
      <w:pPr>
        <w:ind w:left="4010" w:hanging="180"/>
      </w:pPr>
    </w:lvl>
    <w:lvl w:ilvl="6" w:tplc="0407000F" w:tentative="1">
      <w:start w:val="1"/>
      <w:numFmt w:val="decimal"/>
      <w:lvlText w:val="%7."/>
      <w:lvlJc w:val="left"/>
      <w:pPr>
        <w:ind w:left="4730" w:hanging="360"/>
      </w:pPr>
    </w:lvl>
    <w:lvl w:ilvl="7" w:tplc="04070019" w:tentative="1">
      <w:start w:val="1"/>
      <w:numFmt w:val="lowerLetter"/>
      <w:lvlText w:val="%8."/>
      <w:lvlJc w:val="left"/>
      <w:pPr>
        <w:ind w:left="5450" w:hanging="360"/>
      </w:pPr>
    </w:lvl>
    <w:lvl w:ilvl="8" w:tplc="0407001B" w:tentative="1">
      <w:start w:val="1"/>
      <w:numFmt w:val="lowerRoman"/>
      <w:lvlText w:val="%9."/>
      <w:lvlJc w:val="right"/>
      <w:pPr>
        <w:ind w:left="6170" w:hanging="180"/>
      </w:pPr>
    </w:lvl>
  </w:abstractNum>
  <w:abstractNum w:abstractNumId="2" w15:restartNumberingAfterBreak="0">
    <w:nsid w:val="310675D6"/>
    <w:multiLevelType w:val="hybridMultilevel"/>
    <w:tmpl w:val="E9E6D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9A2677"/>
    <w:multiLevelType w:val="hybridMultilevel"/>
    <w:tmpl w:val="12A837C6"/>
    <w:lvl w:ilvl="0" w:tplc="07A20D4A">
      <w:start w:val="1"/>
      <w:numFmt w:val="decimal"/>
      <w:lvlText w:val="%1."/>
      <w:lvlJc w:val="left"/>
      <w:pPr>
        <w:ind w:left="720" w:hanging="360"/>
      </w:pPr>
      <w:rPr>
        <w:rFonts w:eastAsiaTheme="minorHAns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DE96458"/>
    <w:multiLevelType w:val="hybridMultilevel"/>
    <w:tmpl w:val="EA22C88E"/>
    <w:lvl w:ilvl="0" w:tplc="471A2F2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5C77C3F"/>
    <w:multiLevelType w:val="hybridMultilevel"/>
    <w:tmpl w:val="6A3295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80A3CA7"/>
    <w:multiLevelType w:val="hybridMultilevel"/>
    <w:tmpl w:val="9948E742"/>
    <w:lvl w:ilvl="0" w:tplc="B198B70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401"/>
    <w:rsid w:val="0000598E"/>
    <w:rsid w:val="0004183C"/>
    <w:rsid w:val="00046165"/>
    <w:rsid w:val="00076A9F"/>
    <w:rsid w:val="000C3074"/>
    <w:rsid w:val="000E0C79"/>
    <w:rsid w:val="000F0F02"/>
    <w:rsid w:val="00177659"/>
    <w:rsid w:val="00192BE0"/>
    <w:rsid w:val="00195477"/>
    <w:rsid w:val="001A6105"/>
    <w:rsid w:val="001D0F24"/>
    <w:rsid w:val="00247FD2"/>
    <w:rsid w:val="00260A6A"/>
    <w:rsid w:val="00266141"/>
    <w:rsid w:val="002A0724"/>
    <w:rsid w:val="00306FB0"/>
    <w:rsid w:val="0030718E"/>
    <w:rsid w:val="00331CC8"/>
    <w:rsid w:val="0034593E"/>
    <w:rsid w:val="003A799F"/>
    <w:rsid w:val="003B5D70"/>
    <w:rsid w:val="003E0D6B"/>
    <w:rsid w:val="0042072A"/>
    <w:rsid w:val="00470175"/>
    <w:rsid w:val="00472401"/>
    <w:rsid w:val="00491D60"/>
    <w:rsid w:val="004B58C5"/>
    <w:rsid w:val="004C21AA"/>
    <w:rsid w:val="004C6D55"/>
    <w:rsid w:val="005400E9"/>
    <w:rsid w:val="0059440C"/>
    <w:rsid w:val="005D2965"/>
    <w:rsid w:val="005F2A7D"/>
    <w:rsid w:val="00604FCD"/>
    <w:rsid w:val="006075E6"/>
    <w:rsid w:val="006179BC"/>
    <w:rsid w:val="006711D4"/>
    <w:rsid w:val="006B31D0"/>
    <w:rsid w:val="006F6E41"/>
    <w:rsid w:val="00837680"/>
    <w:rsid w:val="008551C2"/>
    <w:rsid w:val="008738DE"/>
    <w:rsid w:val="00886223"/>
    <w:rsid w:val="008C5595"/>
    <w:rsid w:val="00907F79"/>
    <w:rsid w:val="0094165F"/>
    <w:rsid w:val="0099299C"/>
    <w:rsid w:val="009E47A6"/>
    <w:rsid w:val="00A46EA4"/>
    <w:rsid w:val="00AB4BB2"/>
    <w:rsid w:val="00AE5B77"/>
    <w:rsid w:val="00AF75AE"/>
    <w:rsid w:val="00B11309"/>
    <w:rsid w:val="00B33DF3"/>
    <w:rsid w:val="00B73C9F"/>
    <w:rsid w:val="00B8074D"/>
    <w:rsid w:val="00BA5FD9"/>
    <w:rsid w:val="00BB40C4"/>
    <w:rsid w:val="00C244D5"/>
    <w:rsid w:val="00CA2AC3"/>
    <w:rsid w:val="00CC4CEE"/>
    <w:rsid w:val="00CC7077"/>
    <w:rsid w:val="00D51964"/>
    <w:rsid w:val="00DC23AE"/>
    <w:rsid w:val="00DE2341"/>
    <w:rsid w:val="00E61CC2"/>
    <w:rsid w:val="00ED2715"/>
    <w:rsid w:val="00ED582E"/>
    <w:rsid w:val="00EE535D"/>
    <w:rsid w:val="00F13768"/>
    <w:rsid w:val="00F22ED9"/>
    <w:rsid w:val="00F34790"/>
    <w:rsid w:val="00F9129D"/>
    <w:rsid w:val="00FA73A7"/>
    <w:rsid w:val="00FB3F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DECCC"/>
  <w15:chartTrackingRefBased/>
  <w15:docId w15:val="{2DFA98AE-5A76-4F7A-80AB-DEC08AD7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8738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38DE"/>
    <w:rPr>
      <w:rFonts w:ascii="Times New Roman" w:eastAsia="Times New Roman" w:hAnsi="Times New Roman" w:cs="Times New Roman"/>
      <w:b/>
      <w:bCs/>
      <w:kern w:val="36"/>
      <w:sz w:val="48"/>
      <w:szCs w:val="48"/>
      <w:lang w:eastAsia="de-DE"/>
    </w:rPr>
  </w:style>
  <w:style w:type="paragraph" w:styleId="Listenabsatz">
    <w:name w:val="List Paragraph"/>
    <w:basedOn w:val="Standard"/>
    <w:uiPriority w:val="34"/>
    <w:qFormat/>
    <w:rsid w:val="00491D60"/>
    <w:pPr>
      <w:ind w:left="720"/>
      <w:contextualSpacing/>
    </w:pPr>
  </w:style>
  <w:style w:type="paragraph" w:customStyle="1" w:styleId="xmsonormal">
    <w:name w:val="x_msonormal"/>
    <w:basedOn w:val="Standard"/>
    <w:rsid w:val="00076A9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8862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6223"/>
  </w:style>
  <w:style w:type="paragraph" w:styleId="Fuzeile">
    <w:name w:val="footer"/>
    <w:basedOn w:val="Standard"/>
    <w:link w:val="FuzeileZchn"/>
    <w:uiPriority w:val="99"/>
    <w:unhideWhenUsed/>
    <w:rsid w:val="008862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6223"/>
  </w:style>
  <w:style w:type="character" w:customStyle="1" w:styleId="fcek">
    <w:name w:val="_fce_k"/>
    <w:basedOn w:val="Absatz-Standardschriftart"/>
    <w:rsid w:val="00837680"/>
  </w:style>
  <w:style w:type="character" w:customStyle="1" w:styleId="rphighlightallclass">
    <w:name w:val="rphighlightallclass"/>
    <w:basedOn w:val="Absatz-Standardschriftart"/>
    <w:rsid w:val="00837680"/>
  </w:style>
  <w:style w:type="character" w:customStyle="1" w:styleId="pel">
    <w:name w:val="_pe_l"/>
    <w:basedOn w:val="Absatz-Standardschriftart"/>
    <w:rsid w:val="00837680"/>
  </w:style>
  <w:style w:type="character" w:customStyle="1" w:styleId="bidi">
    <w:name w:val="bidi"/>
    <w:basedOn w:val="Absatz-Standardschriftart"/>
    <w:rsid w:val="00837680"/>
  </w:style>
  <w:style w:type="character" w:customStyle="1" w:styleId="allowtextselection">
    <w:name w:val="allowtextselection"/>
    <w:basedOn w:val="Absatz-Standardschriftart"/>
    <w:rsid w:val="00837680"/>
  </w:style>
  <w:style w:type="paragraph" w:styleId="StandardWeb">
    <w:name w:val="Normal (Web)"/>
    <w:basedOn w:val="Standard"/>
    <w:uiPriority w:val="99"/>
    <w:semiHidden/>
    <w:unhideWhenUsed/>
    <w:rsid w:val="0083768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ighlight">
    <w:name w:val="highlight"/>
    <w:basedOn w:val="Absatz-Standardschriftart"/>
    <w:rsid w:val="00837680"/>
  </w:style>
  <w:style w:type="character" w:customStyle="1" w:styleId="xmarkedcontent">
    <w:name w:val="x_markedcontent"/>
    <w:basedOn w:val="Absatz-Standardschriftart"/>
    <w:rsid w:val="00F9129D"/>
  </w:style>
  <w:style w:type="paragraph" w:styleId="Sprechblasentext">
    <w:name w:val="Balloon Text"/>
    <w:basedOn w:val="Standard"/>
    <w:link w:val="SprechblasentextZchn"/>
    <w:uiPriority w:val="99"/>
    <w:semiHidden/>
    <w:unhideWhenUsed/>
    <w:rsid w:val="004C21A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21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5796">
      <w:bodyDiv w:val="1"/>
      <w:marLeft w:val="0"/>
      <w:marRight w:val="0"/>
      <w:marTop w:val="0"/>
      <w:marBottom w:val="0"/>
      <w:divBdr>
        <w:top w:val="none" w:sz="0" w:space="0" w:color="auto"/>
        <w:left w:val="none" w:sz="0" w:space="0" w:color="auto"/>
        <w:bottom w:val="none" w:sz="0" w:space="0" w:color="auto"/>
        <w:right w:val="none" w:sz="0" w:space="0" w:color="auto"/>
      </w:divBdr>
    </w:div>
    <w:div w:id="985235440">
      <w:bodyDiv w:val="1"/>
      <w:marLeft w:val="0"/>
      <w:marRight w:val="0"/>
      <w:marTop w:val="0"/>
      <w:marBottom w:val="0"/>
      <w:divBdr>
        <w:top w:val="none" w:sz="0" w:space="0" w:color="auto"/>
        <w:left w:val="none" w:sz="0" w:space="0" w:color="auto"/>
        <w:bottom w:val="none" w:sz="0" w:space="0" w:color="auto"/>
        <w:right w:val="none" w:sz="0" w:space="0" w:color="auto"/>
      </w:divBdr>
      <w:divsChild>
        <w:div w:id="163328959">
          <w:marLeft w:val="0"/>
          <w:marRight w:val="0"/>
          <w:marTop w:val="0"/>
          <w:marBottom w:val="0"/>
          <w:divBdr>
            <w:top w:val="none" w:sz="0" w:space="0" w:color="auto"/>
            <w:left w:val="none" w:sz="0" w:space="0" w:color="auto"/>
            <w:bottom w:val="none" w:sz="0" w:space="0" w:color="auto"/>
            <w:right w:val="none" w:sz="0" w:space="0" w:color="auto"/>
          </w:divBdr>
        </w:div>
        <w:div w:id="1522626148">
          <w:marLeft w:val="0"/>
          <w:marRight w:val="0"/>
          <w:marTop w:val="0"/>
          <w:marBottom w:val="0"/>
          <w:divBdr>
            <w:top w:val="none" w:sz="0" w:space="0" w:color="auto"/>
            <w:left w:val="none" w:sz="0" w:space="0" w:color="auto"/>
            <w:bottom w:val="none" w:sz="0" w:space="0" w:color="auto"/>
            <w:right w:val="none" w:sz="0" w:space="0" w:color="auto"/>
          </w:divBdr>
          <w:divsChild>
            <w:div w:id="1618752411">
              <w:marLeft w:val="0"/>
              <w:marRight w:val="0"/>
              <w:marTop w:val="0"/>
              <w:marBottom w:val="0"/>
              <w:divBdr>
                <w:top w:val="none" w:sz="0" w:space="0" w:color="auto"/>
                <w:left w:val="none" w:sz="0" w:space="0" w:color="auto"/>
                <w:bottom w:val="none" w:sz="0" w:space="0" w:color="auto"/>
                <w:right w:val="none" w:sz="0" w:space="0" w:color="auto"/>
              </w:divBdr>
              <w:divsChild>
                <w:div w:id="613711693">
                  <w:marLeft w:val="0"/>
                  <w:marRight w:val="0"/>
                  <w:marTop w:val="0"/>
                  <w:marBottom w:val="0"/>
                  <w:divBdr>
                    <w:top w:val="none" w:sz="0" w:space="0" w:color="auto"/>
                    <w:left w:val="none" w:sz="0" w:space="0" w:color="auto"/>
                    <w:bottom w:val="none" w:sz="0" w:space="0" w:color="auto"/>
                    <w:right w:val="none" w:sz="0" w:space="0" w:color="auto"/>
                  </w:divBdr>
                  <w:divsChild>
                    <w:div w:id="1143697987">
                      <w:marLeft w:val="0"/>
                      <w:marRight w:val="0"/>
                      <w:marTop w:val="0"/>
                      <w:marBottom w:val="0"/>
                      <w:divBdr>
                        <w:top w:val="none" w:sz="0" w:space="0" w:color="auto"/>
                        <w:left w:val="none" w:sz="0" w:space="0" w:color="auto"/>
                        <w:bottom w:val="none" w:sz="0" w:space="0" w:color="auto"/>
                        <w:right w:val="none" w:sz="0" w:space="0" w:color="auto"/>
                      </w:divBdr>
                      <w:divsChild>
                        <w:div w:id="9624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428814">
          <w:marLeft w:val="0"/>
          <w:marRight w:val="0"/>
          <w:marTop w:val="0"/>
          <w:marBottom w:val="0"/>
          <w:divBdr>
            <w:top w:val="none" w:sz="0" w:space="0" w:color="auto"/>
            <w:left w:val="none" w:sz="0" w:space="0" w:color="auto"/>
            <w:bottom w:val="none" w:sz="0" w:space="0" w:color="auto"/>
            <w:right w:val="none" w:sz="0" w:space="0" w:color="auto"/>
          </w:divBdr>
          <w:divsChild>
            <w:div w:id="426122336">
              <w:marLeft w:val="0"/>
              <w:marRight w:val="0"/>
              <w:marTop w:val="0"/>
              <w:marBottom w:val="0"/>
              <w:divBdr>
                <w:top w:val="none" w:sz="0" w:space="0" w:color="auto"/>
                <w:left w:val="none" w:sz="0" w:space="0" w:color="auto"/>
                <w:bottom w:val="none" w:sz="0" w:space="0" w:color="auto"/>
                <w:right w:val="none" w:sz="0" w:space="0" w:color="auto"/>
              </w:divBdr>
              <w:divsChild>
                <w:div w:id="1685355519">
                  <w:marLeft w:val="0"/>
                  <w:marRight w:val="0"/>
                  <w:marTop w:val="0"/>
                  <w:marBottom w:val="0"/>
                  <w:divBdr>
                    <w:top w:val="none" w:sz="0" w:space="0" w:color="auto"/>
                    <w:left w:val="none" w:sz="0" w:space="0" w:color="auto"/>
                    <w:bottom w:val="none" w:sz="0" w:space="0" w:color="auto"/>
                    <w:right w:val="none" w:sz="0" w:space="0" w:color="auto"/>
                  </w:divBdr>
                  <w:divsChild>
                    <w:div w:id="624505578">
                      <w:marLeft w:val="0"/>
                      <w:marRight w:val="0"/>
                      <w:marTop w:val="0"/>
                      <w:marBottom w:val="0"/>
                      <w:divBdr>
                        <w:top w:val="none" w:sz="0" w:space="0" w:color="auto"/>
                        <w:left w:val="none" w:sz="0" w:space="0" w:color="auto"/>
                        <w:bottom w:val="none" w:sz="0" w:space="0" w:color="auto"/>
                        <w:right w:val="none" w:sz="0" w:space="0" w:color="auto"/>
                      </w:divBdr>
                      <w:divsChild>
                        <w:div w:id="1334647667">
                          <w:marLeft w:val="0"/>
                          <w:marRight w:val="0"/>
                          <w:marTop w:val="0"/>
                          <w:marBottom w:val="0"/>
                          <w:divBdr>
                            <w:top w:val="none" w:sz="0" w:space="0" w:color="auto"/>
                            <w:left w:val="none" w:sz="0" w:space="0" w:color="auto"/>
                            <w:bottom w:val="none" w:sz="0" w:space="0" w:color="auto"/>
                            <w:right w:val="none" w:sz="0" w:space="0" w:color="auto"/>
                          </w:divBdr>
                          <w:divsChild>
                            <w:div w:id="860049889">
                              <w:marLeft w:val="0"/>
                              <w:marRight w:val="0"/>
                              <w:marTop w:val="0"/>
                              <w:marBottom w:val="0"/>
                              <w:divBdr>
                                <w:top w:val="none" w:sz="0" w:space="0" w:color="auto"/>
                                <w:left w:val="none" w:sz="0" w:space="0" w:color="auto"/>
                                <w:bottom w:val="none" w:sz="0" w:space="0" w:color="auto"/>
                                <w:right w:val="none" w:sz="0" w:space="0" w:color="auto"/>
                              </w:divBdr>
                              <w:divsChild>
                                <w:div w:id="1545948036">
                                  <w:marLeft w:val="0"/>
                                  <w:marRight w:val="0"/>
                                  <w:marTop w:val="0"/>
                                  <w:marBottom w:val="0"/>
                                  <w:divBdr>
                                    <w:top w:val="none" w:sz="0" w:space="0" w:color="auto"/>
                                    <w:left w:val="none" w:sz="0" w:space="0" w:color="auto"/>
                                    <w:bottom w:val="none" w:sz="0" w:space="0" w:color="auto"/>
                                    <w:right w:val="none" w:sz="0" w:space="0" w:color="auto"/>
                                  </w:divBdr>
                                  <w:divsChild>
                                    <w:div w:id="1956516838">
                                      <w:marLeft w:val="0"/>
                                      <w:marRight w:val="0"/>
                                      <w:marTop w:val="0"/>
                                      <w:marBottom w:val="0"/>
                                      <w:divBdr>
                                        <w:top w:val="none" w:sz="0" w:space="0" w:color="auto"/>
                                        <w:left w:val="none" w:sz="0" w:space="0" w:color="auto"/>
                                        <w:bottom w:val="none" w:sz="0" w:space="0" w:color="auto"/>
                                        <w:right w:val="none" w:sz="0" w:space="0" w:color="auto"/>
                                      </w:divBdr>
                                      <w:divsChild>
                                        <w:div w:id="415052039">
                                          <w:marLeft w:val="0"/>
                                          <w:marRight w:val="0"/>
                                          <w:marTop w:val="0"/>
                                          <w:marBottom w:val="0"/>
                                          <w:divBdr>
                                            <w:top w:val="none" w:sz="0" w:space="0" w:color="auto"/>
                                            <w:left w:val="none" w:sz="0" w:space="0" w:color="auto"/>
                                            <w:bottom w:val="none" w:sz="0" w:space="0" w:color="auto"/>
                                            <w:right w:val="none" w:sz="0" w:space="0" w:color="auto"/>
                                          </w:divBdr>
                                          <w:divsChild>
                                            <w:div w:id="370689842">
                                              <w:marLeft w:val="0"/>
                                              <w:marRight w:val="0"/>
                                              <w:marTop w:val="0"/>
                                              <w:marBottom w:val="0"/>
                                              <w:divBdr>
                                                <w:top w:val="none" w:sz="0" w:space="0" w:color="auto"/>
                                                <w:left w:val="none" w:sz="0" w:space="0" w:color="auto"/>
                                                <w:bottom w:val="none" w:sz="0" w:space="0" w:color="auto"/>
                                                <w:right w:val="none" w:sz="0" w:space="0" w:color="auto"/>
                                              </w:divBdr>
                                            </w:div>
                                            <w:div w:id="1892573688">
                                              <w:marLeft w:val="0"/>
                                              <w:marRight w:val="0"/>
                                              <w:marTop w:val="0"/>
                                              <w:marBottom w:val="0"/>
                                              <w:divBdr>
                                                <w:top w:val="none" w:sz="0" w:space="0" w:color="auto"/>
                                                <w:left w:val="none" w:sz="0" w:space="0" w:color="auto"/>
                                                <w:bottom w:val="none" w:sz="0" w:space="0" w:color="auto"/>
                                                <w:right w:val="none" w:sz="0" w:space="0" w:color="auto"/>
                                              </w:divBdr>
                                            </w:div>
                                            <w:div w:id="1900749453">
                                              <w:marLeft w:val="0"/>
                                              <w:marRight w:val="0"/>
                                              <w:marTop w:val="0"/>
                                              <w:marBottom w:val="0"/>
                                              <w:divBdr>
                                                <w:top w:val="none" w:sz="0" w:space="0" w:color="auto"/>
                                                <w:left w:val="none" w:sz="0" w:space="0" w:color="auto"/>
                                                <w:bottom w:val="none" w:sz="0" w:space="0" w:color="auto"/>
                                                <w:right w:val="none" w:sz="0" w:space="0" w:color="auto"/>
                                              </w:divBdr>
                                              <w:divsChild>
                                                <w:div w:id="24950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3725">
                                  <w:marLeft w:val="0"/>
                                  <w:marRight w:val="0"/>
                                  <w:marTop w:val="0"/>
                                  <w:marBottom w:val="0"/>
                                  <w:divBdr>
                                    <w:top w:val="none" w:sz="0" w:space="0" w:color="auto"/>
                                    <w:left w:val="none" w:sz="0" w:space="0" w:color="auto"/>
                                    <w:bottom w:val="none" w:sz="0" w:space="0" w:color="auto"/>
                                    <w:right w:val="none" w:sz="0" w:space="0" w:color="auto"/>
                                  </w:divBdr>
                                  <w:divsChild>
                                    <w:div w:id="1107700905">
                                      <w:marLeft w:val="0"/>
                                      <w:marRight w:val="0"/>
                                      <w:marTop w:val="0"/>
                                      <w:marBottom w:val="0"/>
                                      <w:divBdr>
                                        <w:top w:val="none" w:sz="0" w:space="0" w:color="auto"/>
                                        <w:left w:val="none" w:sz="0" w:space="0" w:color="auto"/>
                                        <w:bottom w:val="none" w:sz="0" w:space="0" w:color="auto"/>
                                        <w:right w:val="none" w:sz="0" w:space="0" w:color="auto"/>
                                      </w:divBdr>
                                      <w:divsChild>
                                        <w:div w:id="573050002">
                                          <w:marLeft w:val="0"/>
                                          <w:marRight w:val="0"/>
                                          <w:marTop w:val="0"/>
                                          <w:marBottom w:val="0"/>
                                          <w:divBdr>
                                            <w:top w:val="none" w:sz="0" w:space="0" w:color="auto"/>
                                            <w:left w:val="none" w:sz="0" w:space="0" w:color="auto"/>
                                            <w:bottom w:val="none" w:sz="0" w:space="0" w:color="auto"/>
                                            <w:right w:val="none" w:sz="0" w:space="0" w:color="auto"/>
                                          </w:divBdr>
                                        </w:div>
                                      </w:divsChild>
                                    </w:div>
                                    <w:div w:id="1474642491">
                                      <w:marLeft w:val="0"/>
                                      <w:marRight w:val="0"/>
                                      <w:marTop w:val="0"/>
                                      <w:marBottom w:val="0"/>
                                      <w:divBdr>
                                        <w:top w:val="none" w:sz="0" w:space="0" w:color="auto"/>
                                        <w:left w:val="none" w:sz="0" w:space="0" w:color="auto"/>
                                        <w:bottom w:val="none" w:sz="0" w:space="0" w:color="auto"/>
                                        <w:right w:val="none" w:sz="0" w:space="0" w:color="auto"/>
                                      </w:divBdr>
                                      <w:divsChild>
                                        <w:div w:id="148755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341954">
      <w:bodyDiv w:val="1"/>
      <w:marLeft w:val="0"/>
      <w:marRight w:val="0"/>
      <w:marTop w:val="0"/>
      <w:marBottom w:val="0"/>
      <w:divBdr>
        <w:top w:val="none" w:sz="0" w:space="0" w:color="auto"/>
        <w:left w:val="none" w:sz="0" w:space="0" w:color="auto"/>
        <w:bottom w:val="none" w:sz="0" w:space="0" w:color="auto"/>
        <w:right w:val="none" w:sz="0" w:space="0" w:color="auto"/>
      </w:divBdr>
      <w:divsChild>
        <w:div w:id="1701979628">
          <w:marLeft w:val="0"/>
          <w:marRight w:val="0"/>
          <w:marTop w:val="0"/>
          <w:marBottom w:val="0"/>
          <w:divBdr>
            <w:top w:val="none" w:sz="0" w:space="0" w:color="auto"/>
            <w:left w:val="none" w:sz="0" w:space="0" w:color="auto"/>
            <w:bottom w:val="none" w:sz="0" w:space="0" w:color="auto"/>
            <w:right w:val="none" w:sz="0" w:space="0" w:color="auto"/>
          </w:divBdr>
        </w:div>
        <w:div w:id="1781759233">
          <w:marLeft w:val="0"/>
          <w:marRight w:val="0"/>
          <w:marTop w:val="0"/>
          <w:marBottom w:val="0"/>
          <w:divBdr>
            <w:top w:val="none" w:sz="0" w:space="0" w:color="auto"/>
            <w:left w:val="none" w:sz="0" w:space="0" w:color="auto"/>
            <w:bottom w:val="none" w:sz="0" w:space="0" w:color="auto"/>
            <w:right w:val="none" w:sz="0" w:space="0" w:color="auto"/>
          </w:divBdr>
          <w:divsChild>
            <w:div w:id="93551831">
              <w:marLeft w:val="0"/>
              <w:marRight w:val="0"/>
              <w:marTop w:val="0"/>
              <w:marBottom w:val="0"/>
              <w:divBdr>
                <w:top w:val="none" w:sz="0" w:space="0" w:color="auto"/>
                <w:left w:val="none" w:sz="0" w:space="0" w:color="auto"/>
                <w:bottom w:val="none" w:sz="0" w:space="0" w:color="auto"/>
                <w:right w:val="none" w:sz="0" w:space="0" w:color="auto"/>
              </w:divBdr>
              <w:divsChild>
                <w:div w:id="1261255784">
                  <w:marLeft w:val="0"/>
                  <w:marRight w:val="0"/>
                  <w:marTop w:val="0"/>
                  <w:marBottom w:val="0"/>
                  <w:divBdr>
                    <w:top w:val="none" w:sz="0" w:space="0" w:color="auto"/>
                    <w:left w:val="none" w:sz="0" w:space="0" w:color="auto"/>
                    <w:bottom w:val="none" w:sz="0" w:space="0" w:color="auto"/>
                    <w:right w:val="none" w:sz="0" w:space="0" w:color="auto"/>
                  </w:divBdr>
                  <w:divsChild>
                    <w:div w:id="921573123">
                      <w:marLeft w:val="0"/>
                      <w:marRight w:val="0"/>
                      <w:marTop w:val="0"/>
                      <w:marBottom w:val="0"/>
                      <w:divBdr>
                        <w:top w:val="none" w:sz="0" w:space="0" w:color="auto"/>
                        <w:left w:val="none" w:sz="0" w:space="0" w:color="auto"/>
                        <w:bottom w:val="none" w:sz="0" w:space="0" w:color="auto"/>
                        <w:right w:val="none" w:sz="0" w:space="0" w:color="auto"/>
                      </w:divBdr>
                      <w:divsChild>
                        <w:div w:id="17463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41921">
          <w:marLeft w:val="0"/>
          <w:marRight w:val="0"/>
          <w:marTop w:val="0"/>
          <w:marBottom w:val="0"/>
          <w:divBdr>
            <w:top w:val="none" w:sz="0" w:space="0" w:color="auto"/>
            <w:left w:val="none" w:sz="0" w:space="0" w:color="auto"/>
            <w:bottom w:val="none" w:sz="0" w:space="0" w:color="auto"/>
            <w:right w:val="none" w:sz="0" w:space="0" w:color="auto"/>
          </w:divBdr>
          <w:divsChild>
            <w:div w:id="1092630551">
              <w:marLeft w:val="0"/>
              <w:marRight w:val="0"/>
              <w:marTop w:val="0"/>
              <w:marBottom w:val="0"/>
              <w:divBdr>
                <w:top w:val="none" w:sz="0" w:space="0" w:color="auto"/>
                <w:left w:val="none" w:sz="0" w:space="0" w:color="auto"/>
                <w:bottom w:val="none" w:sz="0" w:space="0" w:color="auto"/>
                <w:right w:val="none" w:sz="0" w:space="0" w:color="auto"/>
              </w:divBdr>
              <w:divsChild>
                <w:div w:id="915210665">
                  <w:marLeft w:val="0"/>
                  <w:marRight w:val="0"/>
                  <w:marTop w:val="0"/>
                  <w:marBottom w:val="0"/>
                  <w:divBdr>
                    <w:top w:val="none" w:sz="0" w:space="0" w:color="auto"/>
                    <w:left w:val="none" w:sz="0" w:space="0" w:color="auto"/>
                    <w:bottom w:val="none" w:sz="0" w:space="0" w:color="auto"/>
                    <w:right w:val="none" w:sz="0" w:space="0" w:color="auto"/>
                  </w:divBdr>
                  <w:divsChild>
                    <w:div w:id="190805509">
                      <w:marLeft w:val="0"/>
                      <w:marRight w:val="0"/>
                      <w:marTop w:val="0"/>
                      <w:marBottom w:val="0"/>
                      <w:divBdr>
                        <w:top w:val="none" w:sz="0" w:space="0" w:color="auto"/>
                        <w:left w:val="none" w:sz="0" w:space="0" w:color="auto"/>
                        <w:bottom w:val="none" w:sz="0" w:space="0" w:color="auto"/>
                        <w:right w:val="none" w:sz="0" w:space="0" w:color="auto"/>
                      </w:divBdr>
                      <w:divsChild>
                        <w:div w:id="397703941">
                          <w:marLeft w:val="0"/>
                          <w:marRight w:val="0"/>
                          <w:marTop w:val="0"/>
                          <w:marBottom w:val="0"/>
                          <w:divBdr>
                            <w:top w:val="none" w:sz="0" w:space="0" w:color="auto"/>
                            <w:left w:val="none" w:sz="0" w:space="0" w:color="auto"/>
                            <w:bottom w:val="none" w:sz="0" w:space="0" w:color="auto"/>
                            <w:right w:val="none" w:sz="0" w:space="0" w:color="auto"/>
                          </w:divBdr>
                          <w:divsChild>
                            <w:div w:id="1980567760">
                              <w:marLeft w:val="0"/>
                              <w:marRight w:val="0"/>
                              <w:marTop w:val="0"/>
                              <w:marBottom w:val="0"/>
                              <w:divBdr>
                                <w:top w:val="none" w:sz="0" w:space="0" w:color="auto"/>
                                <w:left w:val="none" w:sz="0" w:space="0" w:color="auto"/>
                                <w:bottom w:val="none" w:sz="0" w:space="0" w:color="auto"/>
                                <w:right w:val="none" w:sz="0" w:space="0" w:color="auto"/>
                              </w:divBdr>
                              <w:divsChild>
                                <w:div w:id="871962898">
                                  <w:marLeft w:val="0"/>
                                  <w:marRight w:val="0"/>
                                  <w:marTop w:val="0"/>
                                  <w:marBottom w:val="0"/>
                                  <w:divBdr>
                                    <w:top w:val="none" w:sz="0" w:space="0" w:color="auto"/>
                                    <w:left w:val="none" w:sz="0" w:space="0" w:color="auto"/>
                                    <w:bottom w:val="none" w:sz="0" w:space="0" w:color="auto"/>
                                    <w:right w:val="none" w:sz="0" w:space="0" w:color="auto"/>
                                  </w:divBdr>
                                  <w:divsChild>
                                    <w:div w:id="898445593">
                                      <w:marLeft w:val="0"/>
                                      <w:marRight w:val="0"/>
                                      <w:marTop w:val="0"/>
                                      <w:marBottom w:val="0"/>
                                      <w:divBdr>
                                        <w:top w:val="none" w:sz="0" w:space="0" w:color="auto"/>
                                        <w:left w:val="none" w:sz="0" w:space="0" w:color="auto"/>
                                        <w:bottom w:val="none" w:sz="0" w:space="0" w:color="auto"/>
                                        <w:right w:val="none" w:sz="0" w:space="0" w:color="auto"/>
                                      </w:divBdr>
                                      <w:divsChild>
                                        <w:div w:id="883952285">
                                          <w:marLeft w:val="0"/>
                                          <w:marRight w:val="0"/>
                                          <w:marTop w:val="0"/>
                                          <w:marBottom w:val="0"/>
                                          <w:divBdr>
                                            <w:top w:val="none" w:sz="0" w:space="0" w:color="auto"/>
                                            <w:left w:val="none" w:sz="0" w:space="0" w:color="auto"/>
                                            <w:bottom w:val="none" w:sz="0" w:space="0" w:color="auto"/>
                                            <w:right w:val="none" w:sz="0" w:space="0" w:color="auto"/>
                                          </w:divBdr>
                                          <w:divsChild>
                                            <w:div w:id="824861431">
                                              <w:marLeft w:val="0"/>
                                              <w:marRight w:val="0"/>
                                              <w:marTop w:val="0"/>
                                              <w:marBottom w:val="0"/>
                                              <w:divBdr>
                                                <w:top w:val="none" w:sz="0" w:space="0" w:color="auto"/>
                                                <w:left w:val="none" w:sz="0" w:space="0" w:color="auto"/>
                                                <w:bottom w:val="none" w:sz="0" w:space="0" w:color="auto"/>
                                                <w:right w:val="none" w:sz="0" w:space="0" w:color="auto"/>
                                              </w:divBdr>
                                            </w:div>
                                            <w:div w:id="1000473694">
                                              <w:marLeft w:val="0"/>
                                              <w:marRight w:val="0"/>
                                              <w:marTop w:val="0"/>
                                              <w:marBottom w:val="0"/>
                                              <w:divBdr>
                                                <w:top w:val="none" w:sz="0" w:space="0" w:color="auto"/>
                                                <w:left w:val="none" w:sz="0" w:space="0" w:color="auto"/>
                                                <w:bottom w:val="none" w:sz="0" w:space="0" w:color="auto"/>
                                                <w:right w:val="none" w:sz="0" w:space="0" w:color="auto"/>
                                              </w:divBdr>
                                            </w:div>
                                            <w:div w:id="544681048">
                                              <w:marLeft w:val="0"/>
                                              <w:marRight w:val="0"/>
                                              <w:marTop w:val="0"/>
                                              <w:marBottom w:val="0"/>
                                              <w:divBdr>
                                                <w:top w:val="none" w:sz="0" w:space="0" w:color="auto"/>
                                                <w:left w:val="none" w:sz="0" w:space="0" w:color="auto"/>
                                                <w:bottom w:val="none" w:sz="0" w:space="0" w:color="auto"/>
                                                <w:right w:val="none" w:sz="0" w:space="0" w:color="auto"/>
                                              </w:divBdr>
                                              <w:divsChild>
                                                <w:div w:id="5892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436960">
                                  <w:marLeft w:val="0"/>
                                  <w:marRight w:val="0"/>
                                  <w:marTop w:val="0"/>
                                  <w:marBottom w:val="0"/>
                                  <w:divBdr>
                                    <w:top w:val="none" w:sz="0" w:space="0" w:color="auto"/>
                                    <w:left w:val="none" w:sz="0" w:space="0" w:color="auto"/>
                                    <w:bottom w:val="none" w:sz="0" w:space="0" w:color="auto"/>
                                    <w:right w:val="none" w:sz="0" w:space="0" w:color="auto"/>
                                  </w:divBdr>
                                  <w:divsChild>
                                    <w:div w:id="1477794312">
                                      <w:marLeft w:val="0"/>
                                      <w:marRight w:val="0"/>
                                      <w:marTop w:val="0"/>
                                      <w:marBottom w:val="0"/>
                                      <w:divBdr>
                                        <w:top w:val="none" w:sz="0" w:space="0" w:color="auto"/>
                                        <w:left w:val="none" w:sz="0" w:space="0" w:color="auto"/>
                                        <w:bottom w:val="none" w:sz="0" w:space="0" w:color="auto"/>
                                        <w:right w:val="none" w:sz="0" w:space="0" w:color="auto"/>
                                      </w:divBdr>
                                      <w:divsChild>
                                        <w:div w:id="1593704764">
                                          <w:marLeft w:val="0"/>
                                          <w:marRight w:val="0"/>
                                          <w:marTop w:val="0"/>
                                          <w:marBottom w:val="0"/>
                                          <w:divBdr>
                                            <w:top w:val="none" w:sz="0" w:space="0" w:color="auto"/>
                                            <w:left w:val="none" w:sz="0" w:space="0" w:color="auto"/>
                                            <w:bottom w:val="none" w:sz="0" w:space="0" w:color="auto"/>
                                            <w:right w:val="none" w:sz="0" w:space="0" w:color="auto"/>
                                          </w:divBdr>
                                        </w:div>
                                      </w:divsChild>
                                    </w:div>
                                    <w:div w:id="1898281712">
                                      <w:marLeft w:val="0"/>
                                      <w:marRight w:val="0"/>
                                      <w:marTop w:val="0"/>
                                      <w:marBottom w:val="0"/>
                                      <w:divBdr>
                                        <w:top w:val="none" w:sz="0" w:space="0" w:color="auto"/>
                                        <w:left w:val="none" w:sz="0" w:space="0" w:color="auto"/>
                                        <w:bottom w:val="none" w:sz="0" w:space="0" w:color="auto"/>
                                        <w:right w:val="none" w:sz="0" w:space="0" w:color="auto"/>
                                      </w:divBdr>
                                      <w:divsChild>
                                        <w:div w:id="4538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1522</Words>
  <Characters>9595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Franzisca Hetzer</cp:lastModifiedBy>
  <cp:revision>2</cp:revision>
  <dcterms:created xsi:type="dcterms:W3CDTF">2023-08-18T07:04:00Z</dcterms:created>
  <dcterms:modified xsi:type="dcterms:W3CDTF">2023-08-18T07:04:00Z</dcterms:modified>
</cp:coreProperties>
</file>