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41" w:rsidRPr="0001652E" w:rsidRDefault="00F71B41">
      <w:pPr>
        <w:rPr>
          <w:rFonts w:ascii="Trebuchet MS" w:hAnsi="Trebuchet MS"/>
          <w:sz w:val="24"/>
          <w:szCs w:val="24"/>
        </w:rPr>
      </w:pPr>
    </w:p>
    <w:p w:rsidR="0001652E" w:rsidRDefault="0001652E" w:rsidP="0001652E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40"/>
          <w:szCs w:val="40"/>
        </w:rPr>
      </w:pPr>
      <w:r w:rsidRPr="00A71641">
        <w:rPr>
          <w:rFonts w:ascii="Trebuchet MS" w:hAnsi="Trebuchet MS" w:cs="Arial"/>
          <w:b/>
          <w:sz w:val="40"/>
          <w:szCs w:val="40"/>
        </w:rPr>
        <w:t xml:space="preserve">Positionspapier der BAG SELBSTHILFE </w:t>
      </w:r>
    </w:p>
    <w:p w:rsidR="0001652E" w:rsidRPr="0001652E" w:rsidRDefault="0001652E" w:rsidP="0001652E">
      <w:pPr>
        <w:spacing w:line="360" w:lineRule="auto"/>
        <w:jc w:val="center"/>
        <w:rPr>
          <w:rFonts w:ascii="Trebuchet MS" w:hAnsi="Trebuchet MS" w:cs="Arial"/>
          <w:b/>
          <w:i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z</w:t>
      </w:r>
      <w:r w:rsidRPr="0001652E">
        <w:rPr>
          <w:rFonts w:ascii="Trebuchet MS" w:hAnsi="Trebuchet MS"/>
          <w:b/>
          <w:sz w:val="40"/>
          <w:szCs w:val="40"/>
        </w:rPr>
        <w:t>ur Umsetzung der Patien</w:t>
      </w:r>
      <w:r w:rsidR="0098374A">
        <w:rPr>
          <w:rFonts w:ascii="Trebuchet MS" w:hAnsi="Trebuchet MS"/>
          <w:b/>
          <w:sz w:val="40"/>
          <w:szCs w:val="40"/>
        </w:rPr>
        <w:t>ten</w:t>
      </w:r>
      <w:r w:rsidRPr="0001652E">
        <w:rPr>
          <w:rFonts w:ascii="Trebuchet MS" w:hAnsi="Trebuchet MS"/>
          <w:b/>
          <w:sz w:val="40"/>
          <w:szCs w:val="40"/>
        </w:rPr>
        <w:t>beteiligung im europäischen Nutzenbewertungsverfahren für Arzneimittel und M</w:t>
      </w:r>
      <w:r w:rsidR="00501758">
        <w:rPr>
          <w:rFonts w:ascii="Trebuchet MS" w:hAnsi="Trebuchet MS"/>
          <w:b/>
          <w:sz w:val="40"/>
          <w:szCs w:val="40"/>
        </w:rPr>
        <w:t>e</w:t>
      </w:r>
      <w:r w:rsidRPr="0001652E">
        <w:rPr>
          <w:rFonts w:ascii="Trebuchet MS" w:hAnsi="Trebuchet MS"/>
          <w:b/>
          <w:sz w:val="40"/>
          <w:szCs w:val="40"/>
        </w:rPr>
        <w:t>d</w:t>
      </w:r>
      <w:r w:rsidR="00501758">
        <w:rPr>
          <w:rFonts w:ascii="Trebuchet MS" w:hAnsi="Trebuchet MS"/>
          <w:b/>
          <w:sz w:val="40"/>
          <w:szCs w:val="40"/>
        </w:rPr>
        <w:t>i</w:t>
      </w:r>
      <w:r w:rsidRPr="0001652E">
        <w:rPr>
          <w:rFonts w:ascii="Trebuchet MS" w:hAnsi="Trebuchet MS"/>
          <w:b/>
          <w:sz w:val="40"/>
          <w:szCs w:val="40"/>
        </w:rPr>
        <w:t>zinprodukte</w:t>
      </w:r>
      <w:r w:rsidRPr="0001652E">
        <w:rPr>
          <w:rFonts w:ascii="Trebuchet MS" w:hAnsi="Trebuchet MS" w:cs="Arial"/>
          <w:b/>
          <w:i/>
          <w:sz w:val="40"/>
          <w:szCs w:val="40"/>
        </w:rPr>
        <w:t xml:space="preserve"> </w:t>
      </w:r>
    </w:p>
    <w:p w:rsidR="0001652E" w:rsidRPr="003E6FFF" w:rsidRDefault="0001652E" w:rsidP="0001652E">
      <w:pPr>
        <w:spacing w:line="360" w:lineRule="auto"/>
        <w:jc w:val="center"/>
        <w:rPr>
          <w:rFonts w:ascii="Trebuchet MS" w:hAnsi="Trebuchet MS" w:cs="Arial"/>
          <w:b/>
          <w:i/>
          <w:sz w:val="36"/>
          <w:szCs w:val="36"/>
        </w:rPr>
      </w:pPr>
      <w:r>
        <w:rPr>
          <w:rFonts w:ascii="Trebuchet MS" w:hAnsi="Trebuchet MS" w:cs="Arial"/>
          <w:b/>
          <w:i/>
          <w:sz w:val="36"/>
          <w:szCs w:val="36"/>
        </w:rPr>
        <w:t xml:space="preserve">(Stand: </w:t>
      </w:r>
      <w:r w:rsidR="00DC6660">
        <w:rPr>
          <w:rFonts w:ascii="Trebuchet MS" w:hAnsi="Trebuchet MS" w:cs="Arial"/>
          <w:b/>
          <w:i/>
          <w:sz w:val="36"/>
          <w:szCs w:val="36"/>
        </w:rPr>
        <w:t>15.10</w:t>
      </w:r>
      <w:r>
        <w:rPr>
          <w:rFonts w:ascii="Trebuchet MS" w:hAnsi="Trebuchet MS" w:cs="Arial"/>
          <w:b/>
          <w:i/>
          <w:sz w:val="36"/>
          <w:szCs w:val="36"/>
        </w:rPr>
        <w:t>.2022)</w:t>
      </w:r>
    </w:p>
    <w:p w:rsidR="00A22DC2" w:rsidRPr="00A22DC2" w:rsidRDefault="00A22DC2" w:rsidP="00636E7A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A22DC2" w:rsidRPr="00501758" w:rsidRDefault="00A22DC2" w:rsidP="00501758">
      <w:pPr>
        <w:pStyle w:val="Listenabsatz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  <w:r w:rsidRPr="00501758">
        <w:rPr>
          <w:rFonts w:ascii="Trebuchet MS" w:hAnsi="Trebuchet MS"/>
          <w:sz w:val="24"/>
        </w:rPr>
        <w:t>Gesundheitstechnologen, insbesondere die Nutzung von Arzneimittel</w:t>
      </w:r>
      <w:r w:rsidR="0001652E" w:rsidRPr="00501758">
        <w:rPr>
          <w:rFonts w:ascii="Trebuchet MS" w:hAnsi="Trebuchet MS"/>
          <w:sz w:val="24"/>
        </w:rPr>
        <w:t>n</w:t>
      </w:r>
      <w:r w:rsidRPr="00501758">
        <w:rPr>
          <w:rFonts w:ascii="Trebuchet MS" w:hAnsi="Trebuchet MS"/>
          <w:sz w:val="24"/>
        </w:rPr>
        <w:t xml:space="preserve"> und Medizinprodukten sind nur dann sinnvoll, wenn mit ih</w:t>
      </w:r>
      <w:r w:rsidR="00501758">
        <w:rPr>
          <w:rFonts w:ascii="Trebuchet MS" w:hAnsi="Trebuchet MS"/>
          <w:sz w:val="24"/>
        </w:rPr>
        <w:t>n</w:t>
      </w:r>
      <w:r w:rsidRPr="00501758">
        <w:rPr>
          <w:rFonts w:ascii="Trebuchet MS" w:hAnsi="Trebuchet MS"/>
          <w:sz w:val="24"/>
        </w:rPr>
        <w:t>en ein Patientennutzen verbunden ist.</w:t>
      </w:r>
    </w:p>
    <w:p w:rsidR="00006598" w:rsidRPr="00A22DC2" w:rsidRDefault="00006598" w:rsidP="00BD3679">
      <w:p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501758" w:rsidRDefault="00A22DC2" w:rsidP="00501758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 w:rsidRPr="00A22DC2">
        <w:rPr>
          <w:rFonts w:ascii="Trebuchet MS" w:hAnsi="Trebuchet MS"/>
          <w:sz w:val="24"/>
        </w:rPr>
        <w:t>Daher sind auch Health Technolo</w:t>
      </w:r>
      <w:r w:rsidR="0082421C">
        <w:rPr>
          <w:rFonts w:ascii="Trebuchet MS" w:hAnsi="Trebuchet MS"/>
          <w:sz w:val="24"/>
        </w:rPr>
        <w:t>g</w:t>
      </w:r>
      <w:r w:rsidRPr="00A22DC2">
        <w:rPr>
          <w:rFonts w:ascii="Trebuchet MS" w:hAnsi="Trebuchet MS"/>
          <w:sz w:val="24"/>
        </w:rPr>
        <w:t>y Assessment</w:t>
      </w:r>
      <w:r w:rsidR="0001652E">
        <w:rPr>
          <w:rFonts w:ascii="Trebuchet MS" w:hAnsi="Trebuchet MS"/>
          <w:sz w:val="24"/>
        </w:rPr>
        <w:t>s</w:t>
      </w:r>
      <w:r w:rsidRPr="00A22DC2">
        <w:rPr>
          <w:rFonts w:ascii="Trebuchet MS" w:hAnsi="Trebuchet MS"/>
          <w:sz w:val="24"/>
        </w:rPr>
        <w:t xml:space="preserve"> (HTA) am Patientennutzen a</w:t>
      </w:r>
      <w:r w:rsidR="0082421C">
        <w:rPr>
          <w:rFonts w:ascii="Trebuchet MS" w:hAnsi="Trebuchet MS"/>
          <w:sz w:val="24"/>
        </w:rPr>
        <w:t>us</w:t>
      </w:r>
      <w:r w:rsidRPr="00A22DC2">
        <w:rPr>
          <w:rFonts w:ascii="Trebuchet MS" w:hAnsi="Trebuchet MS"/>
          <w:sz w:val="24"/>
        </w:rPr>
        <w:t xml:space="preserve">zurichten. Die im HTA zu prüfenden Zielparameter, die Endpunkte des Nutzennachweises, müssen relevant für die Patientinnen und Patienten sein. </w:t>
      </w:r>
      <w:r w:rsidR="00501758">
        <w:rPr>
          <w:rFonts w:ascii="Trebuchet MS" w:hAnsi="Trebuchet MS"/>
          <w:sz w:val="24"/>
        </w:rPr>
        <w:t>Schon aus diesem Grund ist es besonders wichtig, auch die Sicht der Patiententinnen und Patienten im HTA-Verfahren in den Blick zu nehmen.</w:t>
      </w:r>
    </w:p>
    <w:p w:rsidR="00BD3679" w:rsidRDefault="0001652E" w:rsidP="00BD3679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 w:rsidRPr="00A22DC2">
        <w:rPr>
          <w:rFonts w:ascii="Trebuchet MS" w:hAnsi="Trebuchet MS"/>
          <w:sz w:val="24"/>
        </w:rPr>
        <w:t>Die Ergebnisse von HTA-Verfahren haben oftmals gravierende Auswirkungen für die Versorgung der Patientinnen und Patienten. Daher sind die Assessment-Ergebnisse für Patientinnen und Patienten von größtem Interesse.</w:t>
      </w:r>
      <w:r>
        <w:rPr>
          <w:rFonts w:ascii="Trebuchet MS" w:hAnsi="Trebuchet MS"/>
          <w:sz w:val="24"/>
        </w:rPr>
        <w:t xml:space="preserve"> </w:t>
      </w:r>
    </w:p>
    <w:p w:rsidR="00BD3679" w:rsidRDefault="00BD3679" w:rsidP="00BD3679">
      <w:p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A22DC2" w:rsidRDefault="00A22DC2" w:rsidP="00BD3679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Eigentlich liegt es daher auf der </w:t>
      </w:r>
      <w:r w:rsidR="0082421C">
        <w:rPr>
          <w:rFonts w:ascii="Trebuchet MS" w:hAnsi="Trebuchet MS"/>
          <w:sz w:val="24"/>
        </w:rPr>
        <w:t>H</w:t>
      </w:r>
      <w:r>
        <w:rPr>
          <w:rFonts w:ascii="Trebuchet MS" w:hAnsi="Trebuchet MS"/>
          <w:sz w:val="24"/>
        </w:rPr>
        <w:t>and, dass die Patientenbeteiligung in allen Phasen der Assessments konstitutives Element von HTA</w:t>
      </w:r>
      <w:r w:rsidR="00E32C38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Verfahren sein muss.</w:t>
      </w:r>
    </w:p>
    <w:p w:rsidR="0001652E" w:rsidRDefault="0001652E" w:rsidP="00BD3679">
      <w:p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A22DC2" w:rsidRDefault="00A22DC2" w:rsidP="00BD3679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Patientenvertrete</w:t>
      </w:r>
      <w:r w:rsidR="002967EC">
        <w:rPr>
          <w:rFonts w:ascii="Trebuchet MS" w:hAnsi="Trebuchet MS"/>
          <w:sz w:val="24"/>
        </w:rPr>
        <w:t>r</w:t>
      </w:r>
      <w:r w:rsidR="00501758">
        <w:rPr>
          <w:rFonts w:ascii="Trebuchet MS" w:hAnsi="Trebuchet MS"/>
          <w:sz w:val="24"/>
        </w:rPr>
        <w:t xml:space="preserve">innen und -vertretern </w:t>
      </w:r>
      <w:r w:rsidR="002677DF">
        <w:rPr>
          <w:rFonts w:ascii="Trebuchet MS" w:hAnsi="Trebuchet MS"/>
          <w:sz w:val="24"/>
        </w:rPr>
        <w:t>kommt</w:t>
      </w:r>
      <w:r>
        <w:rPr>
          <w:rFonts w:ascii="Trebuchet MS" w:hAnsi="Trebuchet MS"/>
          <w:sz w:val="24"/>
        </w:rPr>
        <w:t xml:space="preserve"> </w:t>
      </w:r>
      <w:r w:rsidR="00501758">
        <w:rPr>
          <w:rFonts w:ascii="Trebuchet MS" w:hAnsi="Trebuchet MS"/>
          <w:sz w:val="24"/>
        </w:rPr>
        <w:t>in</w:t>
      </w:r>
      <w:r>
        <w:rPr>
          <w:rFonts w:ascii="Trebuchet MS" w:hAnsi="Trebuchet MS"/>
          <w:sz w:val="24"/>
        </w:rPr>
        <w:t xml:space="preserve"> HTA-Verfahren </w:t>
      </w:r>
      <w:r w:rsidR="00501758">
        <w:rPr>
          <w:rFonts w:ascii="Trebuchet MS" w:hAnsi="Trebuchet MS"/>
          <w:sz w:val="24"/>
        </w:rPr>
        <w:t xml:space="preserve">aber </w:t>
      </w:r>
      <w:r>
        <w:rPr>
          <w:rFonts w:ascii="Trebuchet MS" w:hAnsi="Trebuchet MS"/>
          <w:sz w:val="24"/>
        </w:rPr>
        <w:t>nicht nur die Aufgabe zu, Informationen z</w:t>
      </w:r>
      <w:r w:rsidR="002677DF">
        <w:rPr>
          <w:rFonts w:ascii="Trebuchet MS" w:hAnsi="Trebuchet MS"/>
          <w:sz w:val="24"/>
        </w:rPr>
        <w:t xml:space="preserve">ur Relevanz von Endprodukten, zur Relevanz von </w:t>
      </w:r>
      <w:r w:rsidR="00501758">
        <w:rPr>
          <w:rFonts w:ascii="Trebuchet MS" w:hAnsi="Trebuchet MS"/>
          <w:sz w:val="24"/>
        </w:rPr>
        <w:t>Komparatoren</w:t>
      </w:r>
      <w:r w:rsidR="002677DF">
        <w:rPr>
          <w:rFonts w:ascii="Trebuchet MS" w:hAnsi="Trebuchet MS"/>
          <w:sz w:val="24"/>
        </w:rPr>
        <w:t xml:space="preserve"> und zur Definition von Subpopulationen zu geben.</w:t>
      </w:r>
    </w:p>
    <w:p w:rsidR="00636E7A" w:rsidRDefault="00636E7A" w:rsidP="00BD3679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</w:p>
    <w:p w:rsidR="00636E7A" w:rsidRPr="00A22DC2" w:rsidRDefault="00636E7A" w:rsidP="00E32C38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2677DF" w:rsidRDefault="002677DF" w:rsidP="00501758">
      <w:pPr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Auf der Basis  </w:t>
      </w:r>
      <w:r w:rsidR="00501758">
        <w:rPr>
          <w:rFonts w:ascii="Trebuchet MS" w:hAnsi="Trebuchet MS"/>
          <w:sz w:val="24"/>
        </w:rPr>
        <w:t>entsprechender</w:t>
      </w:r>
      <w:r>
        <w:rPr>
          <w:rFonts w:ascii="Trebuchet MS" w:hAnsi="Trebuchet MS"/>
          <w:sz w:val="24"/>
        </w:rPr>
        <w:t xml:space="preserve"> Schulungen sind auch Patientinnen</w:t>
      </w:r>
      <w:r w:rsidR="00501758">
        <w:rPr>
          <w:rFonts w:ascii="Trebuchet MS" w:hAnsi="Trebuchet MS"/>
          <w:sz w:val="24"/>
        </w:rPr>
        <w:t xml:space="preserve"> und Patienten</w:t>
      </w:r>
      <w:r>
        <w:rPr>
          <w:rFonts w:ascii="Trebuchet MS" w:hAnsi="Trebuchet MS"/>
          <w:sz w:val="24"/>
        </w:rPr>
        <w:t xml:space="preserve"> d</w:t>
      </w:r>
      <w:r w:rsidR="0082421C">
        <w:rPr>
          <w:rFonts w:ascii="Trebuchet MS" w:hAnsi="Trebuchet MS"/>
          <w:sz w:val="24"/>
        </w:rPr>
        <w:t>ur</w:t>
      </w:r>
      <w:r>
        <w:rPr>
          <w:rFonts w:ascii="Trebuchet MS" w:hAnsi="Trebuchet MS"/>
          <w:sz w:val="24"/>
        </w:rPr>
        <w:t>c</w:t>
      </w:r>
      <w:r w:rsidR="0082421C">
        <w:rPr>
          <w:rFonts w:ascii="Trebuchet MS" w:hAnsi="Trebuchet MS"/>
          <w:sz w:val="24"/>
        </w:rPr>
        <w:t>h</w:t>
      </w:r>
      <w:r>
        <w:rPr>
          <w:rFonts w:ascii="Trebuchet MS" w:hAnsi="Trebuchet MS"/>
          <w:sz w:val="24"/>
        </w:rPr>
        <w:t>aus in der Lage, sich mit der Signifikanz von Studienergebnissen oder mit der Bewert</w:t>
      </w:r>
      <w:r w:rsidR="0082421C">
        <w:rPr>
          <w:rFonts w:ascii="Trebuchet MS" w:hAnsi="Trebuchet MS"/>
          <w:sz w:val="24"/>
        </w:rPr>
        <w:t>u</w:t>
      </w:r>
      <w:r>
        <w:rPr>
          <w:rFonts w:ascii="Trebuchet MS" w:hAnsi="Trebuchet MS"/>
          <w:sz w:val="24"/>
        </w:rPr>
        <w:t>ng von Studiendes</w:t>
      </w:r>
      <w:r w:rsidR="0082421C">
        <w:rPr>
          <w:rFonts w:ascii="Trebuchet MS" w:hAnsi="Trebuchet MS"/>
          <w:sz w:val="24"/>
        </w:rPr>
        <w:t>i</w:t>
      </w:r>
      <w:r>
        <w:rPr>
          <w:rFonts w:ascii="Trebuchet MS" w:hAnsi="Trebuchet MS"/>
          <w:sz w:val="24"/>
        </w:rPr>
        <w:t>gn</w:t>
      </w:r>
      <w:r w:rsidR="00501758">
        <w:rPr>
          <w:rFonts w:ascii="Trebuchet MS" w:hAnsi="Trebuchet MS"/>
          <w:sz w:val="24"/>
        </w:rPr>
        <w:t>s</w:t>
      </w:r>
      <w:r>
        <w:rPr>
          <w:rFonts w:ascii="Trebuchet MS" w:hAnsi="Trebuchet MS"/>
          <w:sz w:val="24"/>
        </w:rPr>
        <w:t xml:space="preserve"> zu beschäftigen.</w:t>
      </w:r>
      <w:r w:rsidR="00501758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Dies wird beispielsweise beim Gemeinsamen Bundesausschuss in Deutschlan</w:t>
      </w:r>
      <w:r w:rsidR="0082421C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 xml:space="preserve"> seit vielen </w:t>
      </w:r>
      <w:r w:rsidR="0082421C">
        <w:rPr>
          <w:rFonts w:ascii="Trebuchet MS" w:hAnsi="Trebuchet MS"/>
          <w:sz w:val="24"/>
        </w:rPr>
        <w:t xml:space="preserve">Jahren </w:t>
      </w:r>
      <w:r>
        <w:rPr>
          <w:rFonts w:ascii="Trebuchet MS" w:hAnsi="Trebuchet MS"/>
          <w:sz w:val="24"/>
        </w:rPr>
        <w:t>erfolgreich praktiziert.</w:t>
      </w:r>
    </w:p>
    <w:p w:rsidR="002677DF" w:rsidRDefault="002677DF" w:rsidP="00501758">
      <w:p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F71B41" w:rsidRPr="00501758" w:rsidRDefault="002677DF" w:rsidP="00501758">
      <w:pPr>
        <w:pStyle w:val="Listenabsatz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  <w:r w:rsidRPr="00501758">
        <w:rPr>
          <w:rFonts w:ascii="Trebuchet MS" w:hAnsi="Trebuchet MS"/>
          <w:sz w:val="24"/>
        </w:rPr>
        <w:t>Leider werden die bislang vorliegenden Vorschläge</w:t>
      </w:r>
      <w:r w:rsidR="00094942">
        <w:rPr>
          <w:rFonts w:ascii="Trebuchet MS" w:hAnsi="Trebuchet MS"/>
          <w:sz w:val="24"/>
        </w:rPr>
        <w:t xml:space="preserve"> des EunetHTA-Ko</w:t>
      </w:r>
      <w:bookmarkStart w:id="0" w:name="_GoBack"/>
      <w:bookmarkEnd w:id="0"/>
      <w:r w:rsidR="00094942">
        <w:rPr>
          <w:rFonts w:ascii="Trebuchet MS" w:hAnsi="Trebuchet MS"/>
          <w:sz w:val="24"/>
        </w:rPr>
        <w:t>nsortiums</w:t>
      </w:r>
      <w:r w:rsidRPr="00501758">
        <w:rPr>
          <w:rFonts w:ascii="Trebuchet MS" w:hAnsi="Trebuchet MS"/>
          <w:sz w:val="24"/>
        </w:rPr>
        <w:t xml:space="preserve"> zur Umsetzung der Patientenbeteiligung im künftigen europäischen Nutzenbewertungsver</w:t>
      </w:r>
      <w:r w:rsidR="0082421C" w:rsidRPr="00501758">
        <w:rPr>
          <w:rFonts w:ascii="Trebuchet MS" w:hAnsi="Trebuchet MS"/>
          <w:sz w:val="24"/>
        </w:rPr>
        <w:t>f</w:t>
      </w:r>
      <w:r w:rsidRPr="00501758">
        <w:rPr>
          <w:rFonts w:ascii="Trebuchet MS" w:hAnsi="Trebuchet MS"/>
          <w:sz w:val="24"/>
        </w:rPr>
        <w:t>ahren für Arzneimittel und Medizinprodukten diesen Anforderungen in keiner Weise gerecht.</w:t>
      </w:r>
    </w:p>
    <w:p w:rsidR="00F71B41" w:rsidRDefault="00F71B41" w:rsidP="00501758">
      <w:p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7D77D6" w:rsidRDefault="007D77D6" w:rsidP="00BD3679">
      <w:pPr>
        <w:pStyle w:val="Listenabsatz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Zwar ist bislang vorgesehen, da</w:t>
      </w:r>
      <w:r w:rsidR="0082421C">
        <w:rPr>
          <w:rFonts w:ascii="Trebuchet MS" w:hAnsi="Trebuchet MS"/>
          <w:sz w:val="24"/>
        </w:rPr>
        <w:t>s</w:t>
      </w:r>
      <w:r>
        <w:rPr>
          <w:rFonts w:ascii="Trebuchet MS" w:hAnsi="Trebuchet MS"/>
          <w:sz w:val="24"/>
        </w:rPr>
        <w:t>s die Bestimmung der sogenannten PICO’s auf der Basis der nationalen Beteiligungsbestimmungen der Mitglieds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staaten erfolgen soll. Dies gewährleistet eine adäquate Beteiligung aber nur dort, wo nach den nationalen Bestimmungen eine solche Mitwirkung auch vorgesehen ist.</w:t>
      </w:r>
    </w:p>
    <w:p w:rsidR="00F71B41" w:rsidRDefault="00F71B41" w:rsidP="00BD3679">
      <w:pPr>
        <w:pStyle w:val="Listenabsatz"/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</w:p>
    <w:p w:rsidR="007D77D6" w:rsidRDefault="007D77D6" w:rsidP="00BD3679">
      <w:pPr>
        <w:pStyle w:val="Listenabsatz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Im dann sich anschließendem Verfahrensabschnitt der sogenannten Konsolidierung der PICO’s ist zwar die Beteiligung der europäischen Dachverbände der Patientenorganisationen vorgesehen.</w:t>
      </w:r>
    </w:p>
    <w:p w:rsidR="002259A2" w:rsidRPr="002259A2" w:rsidRDefault="002259A2" w:rsidP="002259A2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E32C38" w:rsidRPr="00E32C38" w:rsidRDefault="007D77D6" w:rsidP="00E32C38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Es fehlt aber an Vorgaben, wie diese Dachverbände </w:t>
      </w:r>
      <w:r w:rsidR="00E32C38">
        <w:rPr>
          <w:rFonts w:ascii="Trebuchet MS" w:hAnsi="Trebuchet MS"/>
          <w:sz w:val="24"/>
        </w:rPr>
        <w:t xml:space="preserve">überhaupt </w:t>
      </w:r>
      <w:r>
        <w:rPr>
          <w:rFonts w:ascii="Trebuchet MS" w:hAnsi="Trebuchet MS"/>
          <w:sz w:val="24"/>
        </w:rPr>
        <w:t xml:space="preserve">in die Lage versetzt werden sollten, die Willensbildungsprozesse europaweit zu organisieren, </w:t>
      </w:r>
      <w:r w:rsidRPr="002259A2">
        <w:rPr>
          <w:rFonts w:ascii="Trebuchet MS" w:hAnsi="Trebuchet MS"/>
          <w:sz w:val="24"/>
        </w:rPr>
        <w:t>um eine Diskussion zur Bewertung und Priorisierung der eingerichteten PICO’s unten den nationalen Patientenorganisationen der Mitgliedsstaaten zu ermöglichen.</w:t>
      </w:r>
    </w:p>
    <w:p w:rsidR="00E32C38" w:rsidRPr="002259A2" w:rsidRDefault="00E32C38" w:rsidP="002259A2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</w:p>
    <w:p w:rsidR="007D77D6" w:rsidRDefault="007D77D6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Nicht nur eine Stärkung der personellen, finanziellen und </w:t>
      </w:r>
      <w:r w:rsidR="00CC24C1" w:rsidRPr="00CC24C1">
        <w:rPr>
          <w:rFonts w:ascii="Trebuchet MS" w:hAnsi="Trebuchet MS"/>
          <w:sz w:val="24"/>
          <w:szCs w:val="24"/>
        </w:rPr>
        <w:t>organisato</w:t>
      </w:r>
      <w:r w:rsidR="00BD3679">
        <w:rPr>
          <w:rFonts w:ascii="Trebuchet MS" w:hAnsi="Trebuchet MS"/>
          <w:sz w:val="24"/>
          <w:szCs w:val="24"/>
        </w:rPr>
        <w:t>-</w:t>
      </w:r>
      <w:r w:rsidR="00CC24C1" w:rsidRPr="00CC24C1">
        <w:rPr>
          <w:rFonts w:ascii="Trebuchet MS" w:hAnsi="Trebuchet MS"/>
          <w:sz w:val="24"/>
          <w:szCs w:val="24"/>
        </w:rPr>
        <w:t xml:space="preserve">rischen Ressourcen </w:t>
      </w:r>
      <w:r>
        <w:rPr>
          <w:rFonts w:ascii="Trebuchet MS" w:hAnsi="Trebuchet MS"/>
          <w:sz w:val="24"/>
        </w:rPr>
        <w:t xml:space="preserve">von Organisationen wie dem </w:t>
      </w:r>
      <w:r w:rsidR="00F14437">
        <w:rPr>
          <w:rFonts w:ascii="Trebuchet MS" w:hAnsi="Trebuchet MS"/>
          <w:sz w:val="24"/>
        </w:rPr>
        <w:t>E</w:t>
      </w:r>
      <w:r>
        <w:rPr>
          <w:rFonts w:ascii="Trebuchet MS" w:hAnsi="Trebuchet MS"/>
          <w:sz w:val="24"/>
        </w:rPr>
        <w:t>uropäischen Patienten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forum</w:t>
      </w:r>
      <w:r w:rsidR="00F14437">
        <w:rPr>
          <w:rFonts w:ascii="Trebuchet MS" w:hAnsi="Trebuchet MS"/>
          <w:sz w:val="24"/>
        </w:rPr>
        <w:t xml:space="preserve"> (EPF) </w:t>
      </w:r>
      <w:r>
        <w:rPr>
          <w:rFonts w:ascii="Trebuchet MS" w:hAnsi="Trebuchet MS"/>
          <w:sz w:val="24"/>
        </w:rPr>
        <w:t>sind erforderlich.</w:t>
      </w:r>
    </w:p>
    <w:p w:rsidR="00501758" w:rsidRDefault="00501758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</w:p>
    <w:p w:rsidR="007D77D6" w:rsidRDefault="007D77D6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Es bedarf auch kontinuierlicher Schulungsmaßnahmen, um das Know-</w:t>
      </w:r>
      <w:r w:rsidR="00CC24C1">
        <w:rPr>
          <w:rFonts w:ascii="Trebuchet MS" w:hAnsi="Trebuchet MS"/>
          <w:sz w:val="24"/>
        </w:rPr>
        <w:t>h</w:t>
      </w:r>
      <w:r>
        <w:rPr>
          <w:rFonts w:ascii="Trebuchet MS" w:hAnsi="Trebuchet MS"/>
          <w:sz w:val="24"/>
        </w:rPr>
        <w:t>ow zur PICO-Definition und zur PICO-</w:t>
      </w:r>
      <w:r w:rsidR="00CC24C1">
        <w:rPr>
          <w:rFonts w:ascii="Trebuchet MS" w:hAnsi="Trebuchet MS"/>
          <w:sz w:val="24"/>
        </w:rPr>
        <w:t>Konsolidierung in die europäischen Patientenvertretung</w:t>
      </w:r>
      <w:r w:rsidR="00501758">
        <w:rPr>
          <w:rFonts w:ascii="Trebuchet MS" w:hAnsi="Trebuchet MS"/>
          <w:sz w:val="24"/>
        </w:rPr>
        <w:t>en</w:t>
      </w:r>
      <w:r w:rsidR="00CC24C1">
        <w:rPr>
          <w:rFonts w:ascii="Trebuchet MS" w:hAnsi="Trebuchet MS"/>
          <w:sz w:val="24"/>
        </w:rPr>
        <w:t xml:space="preserve"> zu tragen</w:t>
      </w:r>
      <w:r w:rsidR="00501758">
        <w:rPr>
          <w:rFonts w:ascii="Trebuchet MS" w:hAnsi="Trebuchet MS"/>
          <w:sz w:val="24"/>
        </w:rPr>
        <w:t xml:space="preserve"> bzw. das erforderliche methodischen Wissen dort zu festigen</w:t>
      </w:r>
    </w:p>
    <w:p w:rsidR="00C579C0" w:rsidRDefault="00C579C0" w:rsidP="00BD3679">
      <w:pPr>
        <w:pStyle w:val="Listenabsatz"/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</w:p>
    <w:p w:rsidR="00F14437" w:rsidRDefault="0005397E" w:rsidP="00BD3679">
      <w:pPr>
        <w:pStyle w:val="Listenabsatz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 massivsten Defizite hinsichtlich der Konzeption der Patienten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 xml:space="preserve">beteiligung betreffen jedoch die Phase der </w:t>
      </w:r>
      <w:r w:rsidR="00F14437">
        <w:rPr>
          <w:rFonts w:ascii="Trebuchet MS" w:hAnsi="Trebuchet MS"/>
          <w:sz w:val="24"/>
        </w:rPr>
        <w:t>Berichterstellung</w:t>
      </w:r>
      <w:r>
        <w:rPr>
          <w:rFonts w:ascii="Trebuchet MS" w:hAnsi="Trebuchet MS"/>
          <w:sz w:val="24"/>
        </w:rPr>
        <w:t>.</w:t>
      </w:r>
    </w:p>
    <w:p w:rsidR="00006598" w:rsidRPr="00006598" w:rsidRDefault="00006598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</w:p>
    <w:p w:rsidR="0005397E" w:rsidRDefault="0005397E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Hier ist eine regelhafte Beteiligung von Patientenvertret</w:t>
      </w:r>
      <w:r w:rsidR="00501758">
        <w:rPr>
          <w:rFonts w:ascii="Trebuchet MS" w:hAnsi="Trebuchet MS"/>
          <w:sz w:val="24"/>
        </w:rPr>
        <w:t>er</w:t>
      </w:r>
      <w:r>
        <w:rPr>
          <w:rFonts w:ascii="Trebuchet MS" w:hAnsi="Trebuchet MS"/>
          <w:sz w:val="24"/>
        </w:rPr>
        <w:t>innen</w:t>
      </w:r>
      <w:r w:rsidR="00501758">
        <w:rPr>
          <w:rFonts w:ascii="Trebuchet MS" w:hAnsi="Trebuchet MS"/>
          <w:sz w:val="24"/>
        </w:rPr>
        <w:t xml:space="preserve"> und</w:t>
      </w:r>
      <w:r w:rsidR="002967EC">
        <w:rPr>
          <w:rFonts w:ascii="Trebuchet MS" w:hAnsi="Trebuchet MS"/>
          <w:sz w:val="24"/>
        </w:rPr>
        <w:t xml:space="preserve"> </w:t>
      </w:r>
      <w:r w:rsidR="00501758">
        <w:rPr>
          <w:rFonts w:ascii="Trebuchet MS" w:hAnsi="Trebuchet MS"/>
          <w:sz w:val="24"/>
        </w:rPr>
        <w:t>-ver</w:t>
      </w:r>
      <w:r w:rsidR="002967EC">
        <w:rPr>
          <w:rFonts w:ascii="Trebuchet MS" w:hAnsi="Trebuchet MS"/>
          <w:sz w:val="24"/>
        </w:rPr>
        <w:t>-</w:t>
      </w:r>
      <w:r w:rsidR="00501758">
        <w:rPr>
          <w:rFonts w:ascii="Trebuchet MS" w:hAnsi="Trebuchet MS"/>
          <w:sz w:val="24"/>
        </w:rPr>
        <w:t>tretern</w:t>
      </w:r>
      <w:r>
        <w:rPr>
          <w:rFonts w:ascii="Trebuchet MS" w:hAnsi="Trebuchet MS"/>
          <w:sz w:val="24"/>
        </w:rPr>
        <w:t xml:space="preserve"> </w:t>
      </w:r>
      <w:r w:rsidR="00F14437">
        <w:rPr>
          <w:rFonts w:ascii="Trebuchet MS" w:hAnsi="Trebuchet MS"/>
          <w:sz w:val="24"/>
        </w:rPr>
        <w:t xml:space="preserve">nach den bislang vorliegenden Vorschlägen für die Umsetzung der Patientenbeteiligung </w:t>
      </w:r>
      <w:r>
        <w:rPr>
          <w:rFonts w:ascii="Trebuchet MS" w:hAnsi="Trebuchet MS"/>
          <w:sz w:val="24"/>
        </w:rPr>
        <w:t>nicht vorgesehen. Nur dann, wenn der Berichterst</w:t>
      </w:r>
      <w:r w:rsidR="0082421C">
        <w:rPr>
          <w:rFonts w:ascii="Trebuchet MS" w:hAnsi="Trebuchet MS"/>
          <w:sz w:val="24"/>
        </w:rPr>
        <w:t>a</w:t>
      </w:r>
      <w:r>
        <w:rPr>
          <w:rFonts w:ascii="Trebuchet MS" w:hAnsi="Trebuchet MS"/>
          <w:sz w:val="24"/>
        </w:rPr>
        <w:t>tter des Verfahrens Bedarf sieht, sollen überhaupt Patientenvertreterinnen</w:t>
      </w:r>
      <w:r w:rsidR="00501758">
        <w:rPr>
          <w:rFonts w:ascii="Trebuchet MS" w:hAnsi="Trebuchet MS"/>
          <w:sz w:val="24"/>
        </w:rPr>
        <w:t xml:space="preserve"> und -vertretern</w:t>
      </w:r>
      <w:r>
        <w:rPr>
          <w:rFonts w:ascii="Trebuchet MS" w:hAnsi="Trebuchet MS"/>
          <w:sz w:val="24"/>
        </w:rPr>
        <w:t xml:space="preserve"> konsultiert werden.</w:t>
      </w:r>
    </w:p>
    <w:p w:rsidR="0005397E" w:rsidRDefault="0005397E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Diese Sichtweise </w:t>
      </w:r>
      <w:r w:rsidR="00F14437">
        <w:rPr>
          <w:rFonts w:ascii="Trebuchet MS" w:hAnsi="Trebuchet MS"/>
          <w:sz w:val="24"/>
        </w:rPr>
        <w:t>verkennt</w:t>
      </w:r>
      <w:r>
        <w:rPr>
          <w:rFonts w:ascii="Trebuchet MS" w:hAnsi="Trebuchet MS"/>
          <w:sz w:val="24"/>
        </w:rPr>
        <w:t xml:space="preserve">, dass der Berichterstatter die </w:t>
      </w:r>
      <w:r w:rsidR="00C579C0">
        <w:rPr>
          <w:rFonts w:ascii="Trebuchet MS" w:hAnsi="Trebuchet MS"/>
          <w:sz w:val="24"/>
        </w:rPr>
        <w:t>Realität des Versorgungsgedankens in allen europäischen Mitgliedsstaaten ebenso</w:t>
      </w:r>
      <w:r w:rsidR="00DF0F53">
        <w:rPr>
          <w:rFonts w:ascii="Trebuchet MS" w:hAnsi="Trebuchet MS"/>
          <w:sz w:val="24"/>
        </w:rPr>
        <w:t xml:space="preserve"> </w:t>
      </w:r>
      <w:r w:rsidR="00C579C0">
        <w:rPr>
          <w:rFonts w:ascii="Trebuchet MS" w:hAnsi="Trebuchet MS"/>
          <w:sz w:val="24"/>
        </w:rPr>
        <w:t xml:space="preserve">wenig überblicken kann wie eventuelle Besonderheiten </w:t>
      </w:r>
      <w:r w:rsidR="00501758">
        <w:rPr>
          <w:rFonts w:ascii="Trebuchet MS" w:hAnsi="Trebuchet MS"/>
          <w:sz w:val="24"/>
        </w:rPr>
        <w:t>hinsichtlich</w:t>
      </w:r>
      <w:r w:rsidR="00C579C0">
        <w:rPr>
          <w:rFonts w:ascii="Trebuchet MS" w:hAnsi="Trebuchet MS"/>
          <w:sz w:val="24"/>
        </w:rPr>
        <w:t xml:space="preserve"> der Relevanz von bestimmten Patientenpr</w:t>
      </w:r>
      <w:r w:rsidR="00F14437">
        <w:rPr>
          <w:rFonts w:ascii="Trebuchet MS" w:hAnsi="Trebuchet MS"/>
          <w:sz w:val="24"/>
        </w:rPr>
        <w:t>äfe</w:t>
      </w:r>
      <w:r w:rsidR="00C579C0">
        <w:rPr>
          <w:rFonts w:ascii="Trebuchet MS" w:hAnsi="Trebuchet MS"/>
          <w:sz w:val="24"/>
        </w:rPr>
        <w:t>renzen oder Subpopulationen.</w:t>
      </w:r>
      <w:r w:rsidR="00533600">
        <w:rPr>
          <w:rFonts w:ascii="Trebuchet MS" w:hAnsi="Trebuchet MS"/>
          <w:sz w:val="24"/>
        </w:rPr>
        <w:t xml:space="preserve"> All dies kann nicht sachgerecht gewürdigt werden, ohne dass die Patientensicht Eingang in das Verfahren findet.</w:t>
      </w:r>
    </w:p>
    <w:p w:rsidR="000D70C6" w:rsidRDefault="000D70C6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Die Hinzuziehung von </w:t>
      </w:r>
      <w:r w:rsidR="00464F05">
        <w:rPr>
          <w:rFonts w:ascii="Trebuchet MS" w:hAnsi="Trebuchet MS"/>
          <w:sz w:val="24"/>
        </w:rPr>
        <w:t xml:space="preserve">Patientenvertreterinnen und -vertretern </w:t>
      </w:r>
      <w:r>
        <w:rPr>
          <w:rFonts w:ascii="Trebuchet MS" w:hAnsi="Trebuchet MS"/>
          <w:sz w:val="24"/>
        </w:rPr>
        <w:t xml:space="preserve">muss daher als </w:t>
      </w:r>
      <w:r w:rsidR="00F14437">
        <w:rPr>
          <w:rFonts w:ascii="Trebuchet MS" w:hAnsi="Trebuchet MS"/>
          <w:sz w:val="24"/>
        </w:rPr>
        <w:t>zwingender</w:t>
      </w:r>
      <w:r>
        <w:rPr>
          <w:rFonts w:ascii="Trebuchet MS" w:hAnsi="Trebuchet MS"/>
          <w:sz w:val="24"/>
        </w:rPr>
        <w:t xml:space="preserve"> Bestandteil des HTA-Verfahrens schon aus methodischen Gründen vorgegeben werden.</w:t>
      </w:r>
    </w:p>
    <w:p w:rsidR="000D70C6" w:rsidRDefault="000D70C6" w:rsidP="00BD3679">
      <w:pPr>
        <w:pStyle w:val="Listenabsatz"/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</w:p>
    <w:p w:rsidR="000D70C6" w:rsidRDefault="000D70C6" w:rsidP="00BD3679">
      <w:pPr>
        <w:pStyle w:val="Listenabsatz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Selbst wenn </w:t>
      </w:r>
      <w:r w:rsidR="00464F05">
        <w:rPr>
          <w:rFonts w:ascii="Trebuchet MS" w:hAnsi="Trebuchet MS"/>
          <w:sz w:val="24"/>
        </w:rPr>
        <w:t>Patientenvertreterinnen und -vertretern</w:t>
      </w:r>
      <w:r w:rsidR="00E32C38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nach der bislang vorgesehenen Konzeption der Patientenbeteiligung im Euro-HTA-Verfahren </w:t>
      </w:r>
      <w:r w:rsidR="00F14437">
        <w:rPr>
          <w:rFonts w:ascii="Trebuchet MS" w:hAnsi="Trebuchet MS"/>
          <w:sz w:val="24"/>
        </w:rPr>
        <w:t xml:space="preserve">beteiligt </w:t>
      </w:r>
      <w:r>
        <w:rPr>
          <w:rFonts w:ascii="Trebuchet MS" w:hAnsi="Trebuchet MS"/>
          <w:sz w:val="24"/>
        </w:rPr>
        <w:t>werden, sollen diese Personen weder mit de</w:t>
      </w:r>
      <w:r w:rsidR="00533600">
        <w:rPr>
          <w:rFonts w:ascii="Trebuchet MS" w:hAnsi="Trebuchet MS"/>
          <w:sz w:val="24"/>
        </w:rPr>
        <w:t>n</w:t>
      </w:r>
      <w:r>
        <w:rPr>
          <w:rFonts w:ascii="Trebuchet MS" w:hAnsi="Trebuchet MS"/>
          <w:sz w:val="24"/>
        </w:rPr>
        <w:t xml:space="preserve"> Regul</w:t>
      </w:r>
      <w:r w:rsidR="00F14437">
        <w:rPr>
          <w:rFonts w:ascii="Trebuchet MS" w:hAnsi="Trebuchet MS"/>
          <w:sz w:val="24"/>
        </w:rPr>
        <w:t xml:space="preserve">arien </w:t>
      </w:r>
      <w:r>
        <w:rPr>
          <w:rFonts w:ascii="Trebuchet MS" w:hAnsi="Trebuchet MS"/>
          <w:sz w:val="24"/>
        </w:rPr>
        <w:t xml:space="preserve">des Verfahrens </w:t>
      </w:r>
      <w:r w:rsidR="00533600">
        <w:rPr>
          <w:rFonts w:ascii="Trebuchet MS" w:hAnsi="Trebuchet MS"/>
          <w:sz w:val="24"/>
        </w:rPr>
        <w:t>noch</w:t>
      </w:r>
      <w:r>
        <w:rPr>
          <w:rFonts w:ascii="Trebuchet MS" w:hAnsi="Trebuchet MS"/>
          <w:sz w:val="24"/>
        </w:rPr>
        <w:t xml:space="preserve"> mit den methodischen Grundlagen </w:t>
      </w:r>
      <w:r w:rsidR="00533600">
        <w:rPr>
          <w:rFonts w:ascii="Trebuchet MS" w:hAnsi="Trebuchet MS"/>
          <w:sz w:val="24"/>
        </w:rPr>
        <w:t xml:space="preserve">der Nutzenbewertung </w:t>
      </w:r>
      <w:r>
        <w:rPr>
          <w:rFonts w:ascii="Trebuchet MS" w:hAnsi="Trebuchet MS"/>
          <w:sz w:val="24"/>
        </w:rPr>
        <w:t>vertraut gemacht werden.</w:t>
      </w:r>
    </w:p>
    <w:p w:rsidR="00533600" w:rsidRDefault="00E32C38" w:rsidP="00E32C38">
      <w:pPr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Ein Coaching oder eine fachliche Einweisung der Patientenexpertinnen- und -</w:t>
      </w:r>
      <w:r w:rsidRPr="00E32C38">
        <w:t xml:space="preserve"> </w:t>
      </w:r>
      <w:r w:rsidRPr="00E32C38">
        <w:rPr>
          <w:rFonts w:ascii="Trebuchet MS" w:hAnsi="Trebuchet MS"/>
          <w:sz w:val="24"/>
          <w:szCs w:val="24"/>
        </w:rPr>
        <w:t>experten</w:t>
      </w:r>
      <w:r>
        <w:t xml:space="preserve"> </w:t>
      </w:r>
      <w:r>
        <w:rPr>
          <w:rFonts w:ascii="Trebuchet MS" w:hAnsi="Trebuchet MS"/>
          <w:sz w:val="24"/>
        </w:rPr>
        <w:t>ist nicht vorgesehen.</w:t>
      </w:r>
    </w:p>
    <w:p w:rsidR="00533600" w:rsidRPr="00533600" w:rsidRDefault="00533600" w:rsidP="00533600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0D70C6" w:rsidRDefault="00464F05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Patientenvertreterinnen und -vertretern</w:t>
      </w:r>
      <w:r w:rsidR="00E32C38">
        <w:rPr>
          <w:rFonts w:ascii="Trebuchet MS" w:hAnsi="Trebuchet MS"/>
          <w:sz w:val="24"/>
        </w:rPr>
        <w:t xml:space="preserve"> </w:t>
      </w:r>
      <w:r w:rsidR="000D70C6">
        <w:rPr>
          <w:rFonts w:ascii="Trebuchet MS" w:hAnsi="Trebuchet MS"/>
          <w:sz w:val="24"/>
        </w:rPr>
        <w:t>sollen nur „Fragen beant</w:t>
      </w:r>
      <w:r w:rsidR="00E32C38">
        <w:rPr>
          <w:rFonts w:ascii="Trebuchet MS" w:hAnsi="Trebuchet MS"/>
          <w:sz w:val="24"/>
        </w:rPr>
        <w:t>-</w:t>
      </w:r>
      <w:r w:rsidR="000D70C6">
        <w:rPr>
          <w:rFonts w:ascii="Trebuchet MS" w:hAnsi="Trebuchet MS"/>
          <w:sz w:val="24"/>
        </w:rPr>
        <w:t xml:space="preserve">worten“. Eigenständige Hinweise der </w:t>
      </w:r>
      <w:r>
        <w:rPr>
          <w:rFonts w:ascii="Trebuchet MS" w:hAnsi="Trebuchet MS"/>
          <w:sz w:val="24"/>
        </w:rPr>
        <w:t>Patientenvertreterinnen und -vertretern</w:t>
      </w:r>
      <w:r w:rsidR="000D70C6">
        <w:rPr>
          <w:rFonts w:ascii="Trebuchet MS" w:hAnsi="Trebuchet MS"/>
          <w:sz w:val="24"/>
        </w:rPr>
        <w:t xml:space="preserve">sind weder erwünscht noch erlaubt. In den sogenannten </w:t>
      </w:r>
      <w:r w:rsidR="006E3082">
        <w:rPr>
          <w:rFonts w:ascii="Trebuchet MS" w:hAnsi="Trebuchet MS"/>
          <w:sz w:val="24"/>
        </w:rPr>
        <w:t xml:space="preserve">Templates zur </w:t>
      </w:r>
      <w:r w:rsidR="000D70C6">
        <w:rPr>
          <w:rFonts w:ascii="Trebuchet MS" w:hAnsi="Trebuchet MS"/>
          <w:sz w:val="24"/>
        </w:rPr>
        <w:t>Dokumentatio</w:t>
      </w:r>
      <w:r w:rsidR="006E3082">
        <w:rPr>
          <w:rFonts w:ascii="Trebuchet MS" w:hAnsi="Trebuchet MS"/>
          <w:sz w:val="24"/>
        </w:rPr>
        <w:t xml:space="preserve">n der Mitwirkung ist eine aktive Beteiligung </w:t>
      </w:r>
      <w:r w:rsidR="00F14437">
        <w:rPr>
          <w:rFonts w:ascii="Trebuchet MS" w:hAnsi="Trebuchet MS"/>
          <w:sz w:val="24"/>
        </w:rPr>
        <w:t xml:space="preserve">auch </w:t>
      </w:r>
      <w:r w:rsidR="00DF0F53">
        <w:rPr>
          <w:rFonts w:ascii="Trebuchet MS" w:hAnsi="Trebuchet MS"/>
          <w:sz w:val="24"/>
        </w:rPr>
        <w:t>g</w:t>
      </w:r>
      <w:r w:rsidR="006E3082">
        <w:rPr>
          <w:rFonts w:ascii="Trebuchet MS" w:hAnsi="Trebuchet MS"/>
          <w:sz w:val="24"/>
        </w:rPr>
        <w:t>ar nicht vorgesehen.</w:t>
      </w:r>
    </w:p>
    <w:p w:rsidR="006E3082" w:rsidRDefault="006E3082" w:rsidP="00BD3679">
      <w:pPr>
        <w:pStyle w:val="Listenabsatz"/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</w:p>
    <w:p w:rsidR="000D70C6" w:rsidRDefault="00400F54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Diese Herangehensweise entspricht in methodischer Hinsicht nicht mehr dem Stand der Wissenschaft und führt zwangsläufig zu einer fehlenden Patientenorientierung </w:t>
      </w:r>
      <w:r w:rsidR="00533600">
        <w:rPr>
          <w:rFonts w:ascii="Trebuchet MS" w:hAnsi="Trebuchet MS"/>
          <w:sz w:val="24"/>
        </w:rPr>
        <w:t xml:space="preserve">und zu inhaltlichen Defiziten </w:t>
      </w:r>
      <w:r>
        <w:rPr>
          <w:rFonts w:ascii="Trebuchet MS" w:hAnsi="Trebuchet MS"/>
          <w:sz w:val="24"/>
        </w:rPr>
        <w:t xml:space="preserve">des Verfahrens und der entsprechenden Ergebnisse. </w:t>
      </w:r>
      <w:r w:rsidR="00464F05">
        <w:rPr>
          <w:rFonts w:ascii="Trebuchet MS" w:hAnsi="Trebuchet MS"/>
          <w:sz w:val="24"/>
        </w:rPr>
        <w:t>Patientenvertreterinnen und -vertreter</w:t>
      </w:r>
      <w:r w:rsidR="002967EC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müssen</w:t>
      </w:r>
      <w:r w:rsidR="00DF0F5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auch im europäischen Nutzenbewertungsverfahren die </w:t>
      </w:r>
      <w:r w:rsidR="00533600">
        <w:rPr>
          <w:rFonts w:ascii="Trebuchet MS" w:hAnsi="Trebuchet MS"/>
          <w:sz w:val="24"/>
        </w:rPr>
        <w:t>Möglichkeit</w:t>
      </w:r>
      <w:r>
        <w:rPr>
          <w:rFonts w:ascii="Trebuchet MS" w:hAnsi="Trebuchet MS"/>
          <w:sz w:val="24"/>
        </w:rPr>
        <w:t xml:space="preserve">keit haben, von sich aus Hinweise zur Relevanz von Endpunkten, von </w:t>
      </w:r>
      <w:r w:rsidR="00533600">
        <w:rPr>
          <w:rFonts w:ascii="Trebuchet MS" w:hAnsi="Trebuchet MS"/>
          <w:sz w:val="24"/>
        </w:rPr>
        <w:t>Komparatoren</w:t>
      </w:r>
      <w:r>
        <w:rPr>
          <w:rFonts w:ascii="Trebuchet MS" w:hAnsi="Trebuchet MS"/>
          <w:sz w:val="24"/>
        </w:rPr>
        <w:t xml:space="preserve"> und zur notwendigen Definition von Subpopulatio</w:t>
      </w:r>
      <w:r w:rsidR="00DF0F53">
        <w:rPr>
          <w:rFonts w:ascii="Trebuchet MS" w:hAnsi="Trebuchet MS"/>
          <w:sz w:val="24"/>
        </w:rPr>
        <w:t>n</w:t>
      </w:r>
      <w:r>
        <w:rPr>
          <w:rFonts w:ascii="Trebuchet MS" w:hAnsi="Trebuchet MS"/>
          <w:sz w:val="24"/>
        </w:rPr>
        <w:t>en zu geben.</w:t>
      </w:r>
    </w:p>
    <w:p w:rsidR="00006598" w:rsidRPr="00F14437" w:rsidRDefault="00006598" w:rsidP="00BD3679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400F54" w:rsidRPr="00F14437" w:rsidRDefault="00400F54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Es ist auch nicht einzusehen, </w:t>
      </w:r>
      <w:r w:rsidR="00DF0F53">
        <w:rPr>
          <w:rFonts w:ascii="Trebuchet MS" w:hAnsi="Trebuchet MS"/>
          <w:sz w:val="24"/>
        </w:rPr>
        <w:t>w</w:t>
      </w:r>
      <w:r>
        <w:rPr>
          <w:rFonts w:ascii="Trebuchet MS" w:hAnsi="Trebuchet MS"/>
          <w:sz w:val="24"/>
        </w:rPr>
        <w:t xml:space="preserve">arum es schädlich sein soll, wenn </w:t>
      </w:r>
      <w:r w:rsidR="00464F05">
        <w:rPr>
          <w:rFonts w:ascii="Trebuchet MS" w:hAnsi="Trebuchet MS"/>
          <w:sz w:val="24"/>
        </w:rPr>
        <w:t>Patientenvertreterinnen und -vertretern</w:t>
      </w:r>
      <w:r w:rsidR="00E32C38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gegenüber dem Berichterstatter</w:t>
      </w:r>
      <w:r w:rsidR="00F14437">
        <w:rPr>
          <w:rFonts w:ascii="Trebuchet MS" w:hAnsi="Trebuchet MS"/>
          <w:sz w:val="24"/>
        </w:rPr>
        <w:t xml:space="preserve"> bspw. </w:t>
      </w:r>
      <w:r>
        <w:rPr>
          <w:rFonts w:ascii="Trebuchet MS" w:hAnsi="Trebuchet MS"/>
          <w:sz w:val="24"/>
        </w:rPr>
        <w:t xml:space="preserve">ein Votum zur </w:t>
      </w:r>
      <w:r w:rsidRPr="00F14437">
        <w:rPr>
          <w:rFonts w:ascii="Trebuchet MS" w:hAnsi="Trebuchet MS"/>
          <w:sz w:val="24"/>
        </w:rPr>
        <w:t xml:space="preserve">Signifikanz von </w:t>
      </w:r>
      <w:r w:rsidR="00533600">
        <w:rPr>
          <w:rFonts w:ascii="Trebuchet MS" w:hAnsi="Trebuchet MS"/>
          <w:sz w:val="24"/>
        </w:rPr>
        <w:t xml:space="preserve">bestimmten </w:t>
      </w:r>
      <w:r w:rsidRPr="00F14437">
        <w:rPr>
          <w:rFonts w:ascii="Trebuchet MS" w:hAnsi="Trebuchet MS"/>
          <w:sz w:val="24"/>
        </w:rPr>
        <w:t>Studienergebnissen oder zur Einschätzung von Studiendesign</w:t>
      </w:r>
      <w:r w:rsidR="00F14437">
        <w:rPr>
          <w:rFonts w:ascii="Trebuchet MS" w:hAnsi="Trebuchet MS"/>
          <w:sz w:val="24"/>
        </w:rPr>
        <w:t>s</w:t>
      </w:r>
      <w:r w:rsidRPr="00F14437">
        <w:rPr>
          <w:rFonts w:ascii="Trebuchet MS" w:hAnsi="Trebuchet MS"/>
          <w:sz w:val="24"/>
        </w:rPr>
        <w:t xml:space="preserve"> abgeben.</w:t>
      </w:r>
    </w:p>
    <w:p w:rsidR="00400F54" w:rsidRDefault="00400F54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Das Empowerment </w:t>
      </w:r>
      <w:r w:rsidR="00DF0F53">
        <w:rPr>
          <w:rFonts w:ascii="Trebuchet MS" w:hAnsi="Trebuchet MS"/>
          <w:sz w:val="24"/>
        </w:rPr>
        <w:t>durch</w:t>
      </w:r>
      <w:r>
        <w:rPr>
          <w:rFonts w:ascii="Trebuchet MS" w:hAnsi="Trebuchet MS"/>
          <w:sz w:val="24"/>
        </w:rPr>
        <w:t xml:space="preserve"> </w:t>
      </w:r>
      <w:r w:rsidR="00DF0F53">
        <w:rPr>
          <w:rFonts w:ascii="Trebuchet MS" w:hAnsi="Trebuchet MS"/>
          <w:sz w:val="24"/>
        </w:rPr>
        <w:t>Patientenorganisationen</w:t>
      </w:r>
      <w:r>
        <w:rPr>
          <w:rFonts w:ascii="Trebuchet MS" w:hAnsi="Trebuchet MS"/>
          <w:sz w:val="24"/>
        </w:rPr>
        <w:t xml:space="preserve"> und Schulungs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 xml:space="preserve">programme ist durchaus so weit fortgeschritten, dass fundierte </w:t>
      </w:r>
      <w:r w:rsidR="00F14437">
        <w:rPr>
          <w:rFonts w:ascii="Trebuchet MS" w:hAnsi="Trebuchet MS"/>
          <w:sz w:val="24"/>
        </w:rPr>
        <w:t>Ausführungen</w:t>
      </w:r>
      <w:r>
        <w:rPr>
          <w:rFonts w:ascii="Trebuchet MS" w:hAnsi="Trebuchet MS"/>
          <w:sz w:val="24"/>
        </w:rPr>
        <w:t xml:space="preserve"> im Verfahren zu erwarten sind.</w:t>
      </w:r>
    </w:p>
    <w:p w:rsidR="00400F54" w:rsidRDefault="00400F54" w:rsidP="00BD3679">
      <w:pPr>
        <w:pStyle w:val="Listenabsatz"/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</w:p>
    <w:p w:rsidR="00400F54" w:rsidRDefault="00400F54" w:rsidP="002259A2">
      <w:pPr>
        <w:pStyle w:val="Listenabsatz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rebuchet MS" w:hAnsi="Trebuchet MS"/>
          <w:sz w:val="24"/>
        </w:rPr>
      </w:pPr>
      <w:r w:rsidRPr="00533600">
        <w:rPr>
          <w:rFonts w:ascii="Trebuchet MS" w:hAnsi="Trebuchet MS"/>
          <w:sz w:val="24"/>
        </w:rPr>
        <w:t>Die bislang vorliegenden Vorschläge zur Konzeption der Patienten</w:t>
      </w:r>
      <w:r w:rsidR="00BD3679" w:rsidRPr="00533600">
        <w:rPr>
          <w:rFonts w:ascii="Trebuchet MS" w:hAnsi="Trebuchet MS"/>
          <w:sz w:val="24"/>
        </w:rPr>
        <w:t>-</w:t>
      </w:r>
      <w:r w:rsidRPr="00533600">
        <w:rPr>
          <w:rFonts w:ascii="Trebuchet MS" w:hAnsi="Trebuchet MS"/>
          <w:sz w:val="24"/>
        </w:rPr>
        <w:t xml:space="preserve">beteiligung im europäischen Nutzenbewertungsverfahren </w:t>
      </w:r>
      <w:r w:rsidR="00F14437" w:rsidRPr="00533600">
        <w:rPr>
          <w:rFonts w:ascii="Trebuchet MS" w:hAnsi="Trebuchet MS"/>
          <w:sz w:val="24"/>
        </w:rPr>
        <w:t>berücksichtigen</w:t>
      </w:r>
      <w:r w:rsidRPr="00533600">
        <w:rPr>
          <w:rFonts w:ascii="Trebuchet MS" w:hAnsi="Trebuchet MS"/>
          <w:sz w:val="24"/>
        </w:rPr>
        <w:t xml:space="preserve"> auch nicht hinreichend, dass der Erfahrungsaustausch in Patienten</w:t>
      </w:r>
      <w:r w:rsidR="00BD3679" w:rsidRPr="00533600">
        <w:rPr>
          <w:rFonts w:ascii="Trebuchet MS" w:hAnsi="Trebuchet MS"/>
          <w:sz w:val="24"/>
        </w:rPr>
        <w:t>-</w:t>
      </w:r>
      <w:r w:rsidRPr="00533600">
        <w:rPr>
          <w:rFonts w:ascii="Trebuchet MS" w:hAnsi="Trebuchet MS"/>
          <w:sz w:val="24"/>
        </w:rPr>
        <w:t xml:space="preserve">organisationen es ermöglicht, nicht nur individuelle Patientenerfahrungen und Wertvorstellungen in das HTA-Verfahren einzubringen, sondern </w:t>
      </w:r>
      <w:r w:rsidR="00DE1564" w:rsidRPr="00533600">
        <w:rPr>
          <w:rFonts w:ascii="Trebuchet MS" w:hAnsi="Trebuchet MS"/>
          <w:sz w:val="24"/>
        </w:rPr>
        <w:t xml:space="preserve">kollektive Erfahrungen und kollektive Präferenzen zu </w:t>
      </w:r>
      <w:r w:rsidR="00DF0F53" w:rsidRPr="00533600">
        <w:rPr>
          <w:rFonts w:ascii="Trebuchet MS" w:hAnsi="Trebuchet MS"/>
          <w:sz w:val="24"/>
        </w:rPr>
        <w:t>berücksichtigen</w:t>
      </w:r>
      <w:r w:rsidR="00DE1564" w:rsidRPr="00533600">
        <w:rPr>
          <w:rFonts w:ascii="Trebuchet MS" w:hAnsi="Trebuchet MS"/>
          <w:sz w:val="24"/>
        </w:rPr>
        <w:t>.</w:t>
      </w:r>
    </w:p>
    <w:p w:rsidR="002259A2" w:rsidRDefault="002259A2" w:rsidP="002259A2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E32C38" w:rsidRDefault="00E32C38" w:rsidP="002259A2">
      <w:pPr>
        <w:spacing w:after="0" w:line="360" w:lineRule="auto"/>
        <w:jc w:val="both"/>
        <w:rPr>
          <w:rFonts w:ascii="Trebuchet MS" w:hAnsi="Trebuchet MS"/>
          <w:sz w:val="24"/>
        </w:rPr>
      </w:pPr>
    </w:p>
    <w:p w:rsidR="00DE1564" w:rsidRPr="00533600" w:rsidRDefault="00DE1564" w:rsidP="00533600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Es geht daher nicht allein darum, Einzelpersonen im Verfahren zu berücksichtigen. Möglichst </w:t>
      </w:r>
      <w:r w:rsidR="00E32C38">
        <w:rPr>
          <w:rFonts w:ascii="Trebuchet MS" w:hAnsi="Trebuchet MS"/>
          <w:sz w:val="24"/>
        </w:rPr>
        <w:t>s</w:t>
      </w:r>
      <w:r>
        <w:rPr>
          <w:rFonts w:ascii="Trebuchet MS" w:hAnsi="Trebuchet MS"/>
          <w:sz w:val="24"/>
        </w:rPr>
        <w:t xml:space="preserve">ollen Personen beteiligt werden, die in </w:t>
      </w:r>
      <w:r w:rsidR="00533600">
        <w:rPr>
          <w:rFonts w:ascii="Trebuchet MS" w:hAnsi="Trebuchet MS"/>
          <w:sz w:val="24"/>
        </w:rPr>
        <w:t xml:space="preserve"> </w:t>
      </w:r>
      <w:r w:rsidRPr="00533600">
        <w:rPr>
          <w:rFonts w:ascii="Trebuchet MS" w:hAnsi="Trebuchet MS"/>
          <w:sz w:val="24"/>
        </w:rPr>
        <w:t>Patientenorganisationen mit demokratischen Willenbildungsstrukturen eingebunden sind.</w:t>
      </w:r>
    </w:p>
    <w:p w:rsidR="00DE1564" w:rsidRDefault="00DE1564" w:rsidP="00BD3679">
      <w:pPr>
        <w:pStyle w:val="Listenabsatz"/>
        <w:spacing w:after="0" w:line="360" w:lineRule="auto"/>
        <w:ind w:left="113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Idealerweise sollten diese Patientenorganisationen selbst Vorschläge machen, welche </w:t>
      </w:r>
      <w:r w:rsidR="00DF0F53">
        <w:rPr>
          <w:rFonts w:ascii="Trebuchet MS" w:hAnsi="Trebuchet MS"/>
          <w:sz w:val="24"/>
        </w:rPr>
        <w:t>P</w:t>
      </w:r>
      <w:r>
        <w:rPr>
          <w:rFonts w:ascii="Trebuchet MS" w:hAnsi="Trebuchet MS"/>
          <w:sz w:val="24"/>
        </w:rPr>
        <w:t>ersonen die Patientensicht am besten vertreten können.</w:t>
      </w:r>
    </w:p>
    <w:p w:rsidR="00DE1564" w:rsidRDefault="00DE1564" w:rsidP="00BD3679">
      <w:pPr>
        <w:pStyle w:val="Listenabsatz"/>
        <w:spacing w:after="0" w:line="360" w:lineRule="auto"/>
        <w:ind w:left="851" w:hanging="425"/>
        <w:jc w:val="both"/>
        <w:rPr>
          <w:rFonts w:ascii="Trebuchet MS" w:hAnsi="Trebuchet MS"/>
          <w:sz w:val="24"/>
        </w:rPr>
      </w:pPr>
    </w:p>
    <w:p w:rsidR="00DE1564" w:rsidRDefault="00DE1564" w:rsidP="00501758">
      <w:pPr>
        <w:pStyle w:val="Listenabsatz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Ohnehin ist festzustellen, dass die bislang vorliegenden Vorschläge zur Umsetzung der Patientenbeteiligung im europäischen Nutzenb</w:t>
      </w:r>
      <w:r w:rsidR="00DF0F53">
        <w:rPr>
          <w:rFonts w:ascii="Trebuchet MS" w:hAnsi="Trebuchet MS"/>
          <w:sz w:val="24"/>
        </w:rPr>
        <w:t>e</w:t>
      </w:r>
      <w:r>
        <w:rPr>
          <w:rFonts w:ascii="Trebuchet MS" w:hAnsi="Trebuchet MS"/>
          <w:sz w:val="24"/>
        </w:rPr>
        <w:t>wertungs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verfahren die Rolle von Patientenorganisationen nur unzureichend würdigen.</w:t>
      </w:r>
    </w:p>
    <w:p w:rsidR="00DE1564" w:rsidRDefault="00DE1564" w:rsidP="00BD3679">
      <w:pPr>
        <w:pStyle w:val="Listenabsatz"/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DE1564" w:rsidRDefault="00DE1564" w:rsidP="00BD3679">
      <w:pPr>
        <w:pStyle w:val="Listenabsatz"/>
        <w:spacing w:after="0" w:line="360" w:lineRule="auto"/>
        <w:ind w:left="567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Die </w:t>
      </w:r>
      <w:r w:rsidR="00DF0F53" w:rsidRPr="00DF0F53">
        <w:rPr>
          <w:rFonts w:ascii="Trebuchet MS" w:hAnsi="Trebuchet MS"/>
          <w:sz w:val="24"/>
        </w:rPr>
        <w:t>Ressourcen</w:t>
      </w:r>
      <w:r w:rsidR="00DF0F53" w:rsidRPr="00DF0F53">
        <w:rPr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 w:rsidR="00DF0F53">
        <w:rPr>
          <w:rFonts w:ascii="Trebuchet MS" w:hAnsi="Trebuchet MS"/>
          <w:sz w:val="24"/>
        </w:rPr>
        <w:t>r</w:t>
      </w:r>
      <w:r>
        <w:rPr>
          <w:rFonts w:ascii="Trebuchet MS" w:hAnsi="Trebuchet MS"/>
          <w:sz w:val="24"/>
        </w:rPr>
        <w:t xml:space="preserve"> Patientenorganisationen müssen systematisch </w:t>
      </w:r>
      <w:r w:rsidR="00EE1157">
        <w:rPr>
          <w:rFonts w:ascii="Trebuchet MS" w:hAnsi="Trebuchet MS"/>
          <w:sz w:val="24"/>
        </w:rPr>
        <w:t>gestärkt</w:t>
      </w:r>
      <w:r>
        <w:rPr>
          <w:rFonts w:ascii="Trebuchet MS" w:hAnsi="Trebuchet MS"/>
          <w:sz w:val="24"/>
        </w:rPr>
        <w:t xml:space="preserve"> werden, um ein pan-europäisches Netzwerk von Patientenvertretungen aufzu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bauen, um die Idee des europäischen Nutzenbewertungsverfahrens in den Mitgliedsstaaten zu verbreiten und um sukzessive immer neue Patienten</w:t>
      </w:r>
      <w:r w:rsidR="00BD3679">
        <w:rPr>
          <w:rFonts w:ascii="Trebuchet MS" w:hAnsi="Trebuchet MS"/>
          <w:sz w:val="24"/>
        </w:rPr>
        <w:t>-</w:t>
      </w:r>
      <w:r>
        <w:rPr>
          <w:rFonts w:ascii="Trebuchet MS" w:hAnsi="Trebuchet MS"/>
          <w:sz w:val="24"/>
        </w:rPr>
        <w:t>vertreter:innen zu schulen und zu unterstützen.</w:t>
      </w:r>
    </w:p>
    <w:p w:rsidR="00006598" w:rsidRDefault="00006598" w:rsidP="00BD3679">
      <w:pPr>
        <w:pStyle w:val="Listenabsatz"/>
        <w:spacing w:after="0" w:line="360" w:lineRule="auto"/>
        <w:ind w:left="567" w:hanging="567"/>
        <w:jc w:val="both"/>
        <w:rPr>
          <w:rFonts w:ascii="Trebuchet MS" w:hAnsi="Trebuchet MS"/>
          <w:sz w:val="24"/>
        </w:rPr>
      </w:pPr>
    </w:p>
    <w:p w:rsidR="00CC24C1" w:rsidRPr="00006598" w:rsidRDefault="00DE1564" w:rsidP="00BD3679">
      <w:pPr>
        <w:pStyle w:val="Listenabsatz"/>
        <w:spacing w:after="0" w:line="360" w:lineRule="auto"/>
        <w:ind w:left="567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4"/>
        </w:rPr>
        <w:t xml:space="preserve">Da dies öffentliche Aufgaben sind, ist auch eine öffentliche Förderung zu gewährleisten. Die Arbeit von </w:t>
      </w:r>
      <w:r w:rsidR="00006598" w:rsidRPr="00006598">
        <w:rPr>
          <w:rFonts w:ascii="Trebuchet MS" w:hAnsi="Trebuchet MS"/>
          <w:sz w:val="24"/>
        </w:rPr>
        <w:t>Patientenorganisationen in Europa darf nicht vor allem auf Sponsorengelder und den Zahlungen chronisch kranker und behinderter Menschen angewiesen sein.</w:t>
      </w:r>
    </w:p>
    <w:sectPr w:rsidR="00CC24C1" w:rsidRPr="0000659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645" w:rsidRDefault="00633645" w:rsidP="00A22DC2">
      <w:pPr>
        <w:spacing w:after="0" w:line="240" w:lineRule="auto"/>
      </w:pPr>
      <w:r>
        <w:separator/>
      </w:r>
    </w:p>
  </w:endnote>
  <w:endnote w:type="continuationSeparator" w:id="0">
    <w:p w:rsidR="00633645" w:rsidRDefault="00633645" w:rsidP="00A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A2" w:rsidRPr="002259A2" w:rsidRDefault="002259A2" w:rsidP="002259A2">
    <w:pPr>
      <w:pStyle w:val="Fuzeile"/>
      <w:jc w:val="right"/>
      <w:rPr>
        <w:rFonts w:ascii="Trebuchet MS" w:hAnsi="Trebuchet MS"/>
      </w:rPr>
    </w:pPr>
    <w:r w:rsidRPr="002259A2">
      <w:rPr>
        <w:rFonts w:ascii="Trebuchet MS" w:hAnsi="Trebuchet MS"/>
      </w:rPr>
      <w:t xml:space="preserve">Seite </w:t>
    </w:r>
    <w:sdt>
      <w:sdtPr>
        <w:rPr>
          <w:rFonts w:ascii="Trebuchet MS" w:hAnsi="Trebuchet MS"/>
        </w:rPr>
        <w:id w:val="-64962027"/>
        <w:docPartObj>
          <w:docPartGallery w:val="Page Numbers (Bottom of Page)"/>
          <w:docPartUnique/>
        </w:docPartObj>
      </w:sdtPr>
      <w:sdtEndPr/>
      <w:sdtContent>
        <w:r w:rsidRPr="002259A2">
          <w:rPr>
            <w:rFonts w:ascii="Trebuchet MS" w:hAnsi="Trebuchet MS"/>
          </w:rPr>
          <w:fldChar w:fldCharType="begin"/>
        </w:r>
        <w:r w:rsidRPr="002259A2">
          <w:rPr>
            <w:rFonts w:ascii="Trebuchet MS" w:hAnsi="Trebuchet MS"/>
          </w:rPr>
          <w:instrText>PAGE   \* MERGEFORMAT</w:instrText>
        </w:r>
        <w:r w:rsidRPr="002259A2">
          <w:rPr>
            <w:rFonts w:ascii="Trebuchet MS" w:hAnsi="Trebuchet MS"/>
          </w:rPr>
          <w:fldChar w:fldCharType="separate"/>
        </w:r>
        <w:r w:rsidRPr="002259A2">
          <w:rPr>
            <w:rFonts w:ascii="Trebuchet MS" w:hAnsi="Trebuchet MS"/>
          </w:rPr>
          <w:t>2</w:t>
        </w:r>
        <w:r w:rsidRPr="002259A2">
          <w:rPr>
            <w:rFonts w:ascii="Trebuchet MS" w:hAnsi="Trebuchet MS"/>
          </w:rPr>
          <w:fldChar w:fldCharType="end"/>
        </w:r>
        <w:r w:rsidRPr="002259A2">
          <w:rPr>
            <w:rFonts w:ascii="Trebuchet MS" w:hAnsi="Trebuchet MS"/>
          </w:rPr>
          <w:t xml:space="preserve"> von 5</w:t>
        </w:r>
      </w:sdtContent>
    </w:sdt>
  </w:p>
  <w:p w:rsidR="002259A2" w:rsidRDefault="002259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645" w:rsidRDefault="00633645" w:rsidP="00A22DC2">
      <w:pPr>
        <w:spacing w:after="0" w:line="240" w:lineRule="auto"/>
      </w:pPr>
      <w:r>
        <w:separator/>
      </w:r>
    </w:p>
  </w:footnote>
  <w:footnote w:type="continuationSeparator" w:id="0">
    <w:p w:rsidR="00633645" w:rsidRDefault="00633645" w:rsidP="00A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C2" w:rsidRDefault="00A22DC2">
    <w:pPr>
      <w:pStyle w:val="Kopfzeile"/>
    </w:pPr>
    <w:r>
      <w:rPr>
        <w:lang w:eastAsia="de-DE"/>
      </w:rPr>
      <w:drawing>
        <wp:inline distT="0" distB="0" distL="0" distR="0" wp14:anchorId="036931E3" wp14:editId="75AB7341">
          <wp:extent cx="1505174" cy="1149178"/>
          <wp:effectExtent l="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292" cy="115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DC2" w:rsidRDefault="00A22D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2FDD"/>
    <w:multiLevelType w:val="hybridMultilevel"/>
    <w:tmpl w:val="852AFA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2376"/>
    <w:multiLevelType w:val="hybridMultilevel"/>
    <w:tmpl w:val="2FF2D0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1A4E"/>
    <w:multiLevelType w:val="hybridMultilevel"/>
    <w:tmpl w:val="D50CBF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C2"/>
    <w:rsid w:val="00006598"/>
    <w:rsid w:val="0001652E"/>
    <w:rsid w:val="0005397E"/>
    <w:rsid w:val="00094942"/>
    <w:rsid w:val="000D70C6"/>
    <w:rsid w:val="002259A2"/>
    <w:rsid w:val="002677DF"/>
    <w:rsid w:val="002967EC"/>
    <w:rsid w:val="00400F54"/>
    <w:rsid w:val="00464F05"/>
    <w:rsid w:val="00501758"/>
    <w:rsid w:val="00533600"/>
    <w:rsid w:val="005D2A7C"/>
    <w:rsid w:val="00633645"/>
    <w:rsid w:val="00636E7A"/>
    <w:rsid w:val="006E3082"/>
    <w:rsid w:val="007D77D6"/>
    <w:rsid w:val="0082421C"/>
    <w:rsid w:val="0098374A"/>
    <w:rsid w:val="00A22DC2"/>
    <w:rsid w:val="00BD3679"/>
    <w:rsid w:val="00C579C0"/>
    <w:rsid w:val="00CC24C1"/>
    <w:rsid w:val="00DC6660"/>
    <w:rsid w:val="00DE1564"/>
    <w:rsid w:val="00DF0F53"/>
    <w:rsid w:val="00E32C38"/>
    <w:rsid w:val="00EE1157"/>
    <w:rsid w:val="00F14437"/>
    <w:rsid w:val="00F4355A"/>
    <w:rsid w:val="00F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D03"/>
  <w15:chartTrackingRefBased/>
  <w15:docId w15:val="{1E5CCDAE-A4D3-45F3-8E85-18881749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DC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A2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DC2"/>
    <w:rPr>
      <w:noProof/>
    </w:rPr>
  </w:style>
  <w:style w:type="paragraph" w:styleId="Listenabsatz">
    <w:name w:val="List Paragraph"/>
    <w:basedOn w:val="Standard"/>
    <w:uiPriority w:val="34"/>
    <w:qFormat/>
    <w:rsid w:val="007D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Müller-Ahrweiler</dc:creator>
  <cp:keywords/>
  <dc:description/>
  <cp:lastModifiedBy>mdanner</cp:lastModifiedBy>
  <cp:revision>19</cp:revision>
  <dcterms:created xsi:type="dcterms:W3CDTF">2022-09-20T13:30:00Z</dcterms:created>
  <dcterms:modified xsi:type="dcterms:W3CDTF">2022-10-20T06:55:00Z</dcterms:modified>
</cp:coreProperties>
</file>